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
        <w:widowControl/>
        <w:shd w:val="clear" w:color="auto" w:fill="FFFFFF"/>
        <w:spacing w:beforeAutospacing="0" w:after="210" w:afterAutospacing="0"/>
        <w:jc w:val="center"/>
        <w:rPr>
          <w:rStyle w:val="15"/>
          <w:rFonts w:ascii="宋体" w:hAnsi="宋体" w:eastAsia="宋体" w:cs="宋体"/>
          <w:color w:val="000000"/>
          <w:sz w:val="25"/>
          <w:szCs w:val="25"/>
          <w:shd w:val="clear" w:color="auto" w:fill="FFFFFF"/>
        </w:rPr>
      </w:pPr>
    </w:p>
    <w:p>
      <w:pPr>
        <w:pStyle w:val="11"/>
        <w:widowControl/>
        <w:shd w:val="clear" w:color="auto" w:fill="FFFFFF"/>
        <w:spacing w:beforeAutospacing="0" w:after="210" w:afterAutospacing="0"/>
        <w:jc w:val="center"/>
        <w:rPr>
          <w:rStyle w:val="15"/>
          <w:rFonts w:ascii="宋体" w:hAnsi="宋体" w:eastAsia="宋体" w:cs="宋体"/>
          <w:color w:val="000000"/>
          <w:sz w:val="22"/>
          <w:szCs w:val="22"/>
          <w:shd w:val="clear" w:color="auto" w:fill="FFFFFF"/>
        </w:rPr>
      </w:pPr>
      <w:r>
        <w:rPr>
          <w:rStyle w:val="15"/>
          <w:rFonts w:hint="eastAsia" w:ascii="黑体" w:hAnsi="黑体" w:eastAsia="黑体" w:cs="黑体"/>
          <w:color w:val="000000"/>
          <w:sz w:val="44"/>
          <w:szCs w:val="44"/>
          <w:shd w:val="clear" w:color="auto" w:fill="FFFFFF"/>
        </w:rPr>
        <w:t>江苏省地方标准</w:t>
      </w:r>
    </w:p>
    <w:p>
      <w:pPr>
        <w:pStyle w:val="11"/>
        <w:widowControl/>
        <w:shd w:val="clear" w:color="auto" w:fill="FFFFFF"/>
        <w:spacing w:beforeAutospacing="0" w:after="210" w:afterAutospacing="0"/>
        <w:jc w:val="center"/>
        <w:rPr>
          <w:rStyle w:val="15"/>
          <w:rFonts w:ascii="黑体" w:hAnsi="黑体" w:eastAsia="黑体" w:cs="黑体"/>
          <w:color w:val="000000"/>
          <w:sz w:val="44"/>
          <w:szCs w:val="44"/>
          <w:shd w:val="clear" w:color="auto" w:fill="FFFFFF"/>
        </w:rPr>
      </w:pPr>
      <w:r>
        <w:rPr>
          <w:rStyle w:val="15"/>
          <w:rFonts w:hint="eastAsia" w:ascii="黑体" w:hAnsi="黑体" w:eastAsia="黑体" w:cs="黑体"/>
          <w:color w:val="000000"/>
          <w:sz w:val="44"/>
          <w:szCs w:val="44"/>
          <w:shd w:val="clear" w:color="auto" w:fill="FFFFFF"/>
        </w:rPr>
        <w:t>《高速公路工程</w:t>
      </w:r>
      <w:r>
        <w:rPr>
          <w:rStyle w:val="15"/>
          <w:rFonts w:hint="eastAsia" w:ascii="黑体" w:hAnsi="黑体" w:eastAsia="黑体" w:cs="黑体"/>
          <w:color w:val="000000"/>
          <w:sz w:val="44"/>
          <w:szCs w:val="44"/>
          <w:shd w:val="clear" w:color="auto" w:fill="FFFFFF"/>
          <w:lang w:val="en-US" w:eastAsia="zh-CN"/>
        </w:rPr>
        <w:t xml:space="preserve"> </w:t>
      </w:r>
      <w:r>
        <w:rPr>
          <w:rStyle w:val="15"/>
          <w:rFonts w:hint="eastAsia" w:ascii="黑体" w:hAnsi="黑体" w:eastAsia="黑体" w:cs="黑体"/>
          <w:color w:val="000000"/>
          <w:sz w:val="44"/>
          <w:szCs w:val="44"/>
          <w:shd w:val="clear" w:color="auto" w:fill="FFFFFF"/>
        </w:rPr>
        <w:t>智慧工地建设技术指南》</w:t>
      </w:r>
    </w:p>
    <w:p>
      <w:pPr>
        <w:pStyle w:val="11"/>
        <w:widowControl/>
        <w:shd w:val="clear" w:color="auto" w:fill="FFFFFF"/>
        <w:spacing w:beforeAutospacing="0" w:after="210" w:afterAutospacing="0"/>
        <w:jc w:val="center"/>
        <w:rPr>
          <w:rStyle w:val="15"/>
          <w:rFonts w:hint="eastAsia" w:ascii="黑体" w:hAnsi="黑体" w:eastAsia="黑体" w:cs="黑体"/>
          <w:color w:val="000000"/>
          <w:sz w:val="44"/>
          <w:szCs w:val="44"/>
          <w:shd w:val="clear" w:color="auto" w:fill="FFFFFF"/>
        </w:rPr>
      </w:pPr>
      <w:r>
        <w:rPr>
          <w:rStyle w:val="15"/>
          <w:rFonts w:hint="eastAsia" w:ascii="黑体" w:hAnsi="黑体" w:eastAsia="黑体" w:cs="黑体"/>
          <w:color w:val="000000"/>
          <w:sz w:val="44"/>
          <w:szCs w:val="44"/>
          <w:shd w:val="clear" w:color="auto" w:fill="FFFFFF"/>
        </w:rPr>
        <w:t>编制说明</w:t>
      </w:r>
    </w:p>
    <w:p>
      <w:pPr>
        <w:pStyle w:val="11"/>
        <w:widowControl/>
        <w:shd w:val="clear" w:color="auto" w:fill="FFFFFF"/>
        <w:spacing w:beforeAutospacing="0" w:after="210" w:afterAutospacing="0"/>
        <w:jc w:val="center"/>
        <w:rPr>
          <w:rStyle w:val="15"/>
          <w:rFonts w:hint="eastAsia" w:ascii="黑体" w:hAnsi="黑体" w:eastAsia="黑体" w:cs="黑体"/>
          <w:color w:val="000000"/>
          <w:sz w:val="44"/>
          <w:szCs w:val="44"/>
          <w:shd w:val="clear" w:color="auto" w:fill="FFFFFF"/>
        </w:rPr>
      </w:pPr>
    </w:p>
    <w:p>
      <w:pPr>
        <w:pStyle w:val="11"/>
        <w:widowControl/>
        <w:shd w:val="clear" w:color="auto" w:fill="FFFFFF"/>
        <w:spacing w:beforeAutospacing="0" w:after="210" w:afterAutospacing="0"/>
        <w:jc w:val="center"/>
        <w:rPr>
          <w:rStyle w:val="15"/>
          <w:rFonts w:hint="eastAsia" w:ascii="黑体" w:hAnsi="黑体" w:eastAsia="黑体" w:cs="黑体"/>
          <w:color w:val="000000"/>
          <w:sz w:val="44"/>
          <w:szCs w:val="44"/>
          <w:shd w:val="clear" w:color="auto" w:fill="FFFFFF"/>
        </w:rPr>
      </w:pPr>
    </w:p>
    <w:p>
      <w:pPr>
        <w:pStyle w:val="11"/>
        <w:widowControl/>
        <w:shd w:val="clear" w:color="auto" w:fill="FFFFFF"/>
        <w:spacing w:beforeAutospacing="0" w:after="210" w:afterAutospacing="0"/>
        <w:jc w:val="center"/>
        <w:rPr>
          <w:rStyle w:val="15"/>
          <w:rFonts w:ascii="宋体" w:hAnsi="宋体" w:eastAsia="宋体" w:cs="宋体"/>
          <w:color w:val="000000"/>
          <w:sz w:val="25"/>
          <w:szCs w:val="25"/>
          <w:shd w:val="clear" w:color="auto" w:fill="FFFFFF"/>
        </w:rPr>
      </w:pPr>
      <w:r>
        <w:rPr>
          <w:rStyle w:val="15"/>
          <w:rFonts w:hint="eastAsia" w:ascii="宋体" w:hAnsi="宋体" w:eastAsia="宋体" w:cs="宋体"/>
          <w:color w:val="000000"/>
          <w:sz w:val="25"/>
          <w:szCs w:val="25"/>
          <w:shd w:val="clear" w:color="auto" w:fill="FFFFFF"/>
        </w:rPr>
        <w:t>（征求意见稿）</w:t>
      </w:r>
    </w:p>
    <w:p>
      <w:pPr>
        <w:pStyle w:val="11"/>
        <w:widowControl/>
        <w:shd w:val="clear" w:color="auto" w:fill="FFFFFF"/>
        <w:spacing w:beforeAutospacing="0" w:after="210" w:afterAutospacing="0"/>
        <w:jc w:val="center"/>
        <w:rPr>
          <w:rStyle w:val="15"/>
          <w:rFonts w:ascii="宋体" w:hAnsi="宋体" w:eastAsia="宋体" w:cs="宋体"/>
          <w:color w:val="000000"/>
          <w:sz w:val="25"/>
          <w:szCs w:val="25"/>
          <w:shd w:val="clear" w:color="auto" w:fill="FFFFFF"/>
        </w:rPr>
      </w:pPr>
    </w:p>
    <w:p>
      <w:pPr>
        <w:pStyle w:val="11"/>
        <w:widowControl/>
        <w:shd w:val="clear" w:color="auto" w:fill="FFFFFF"/>
        <w:spacing w:beforeAutospacing="0" w:after="210" w:afterAutospacing="0"/>
        <w:jc w:val="center"/>
        <w:rPr>
          <w:rStyle w:val="15"/>
          <w:rFonts w:ascii="宋体" w:hAnsi="宋体" w:eastAsia="宋体" w:cs="宋体"/>
          <w:color w:val="000000"/>
          <w:sz w:val="25"/>
          <w:szCs w:val="25"/>
          <w:shd w:val="clear" w:color="auto" w:fill="FFFFFF"/>
        </w:rPr>
      </w:pPr>
    </w:p>
    <w:p>
      <w:pPr>
        <w:pStyle w:val="11"/>
        <w:widowControl/>
        <w:shd w:val="clear" w:color="auto" w:fill="FFFFFF"/>
        <w:spacing w:beforeAutospacing="0" w:after="210" w:afterAutospacing="0"/>
        <w:jc w:val="center"/>
        <w:rPr>
          <w:rStyle w:val="15"/>
          <w:rFonts w:ascii="宋体" w:hAnsi="宋体" w:eastAsia="宋体" w:cs="宋体"/>
          <w:color w:val="000000"/>
          <w:sz w:val="25"/>
          <w:szCs w:val="25"/>
          <w:shd w:val="clear" w:color="auto" w:fill="FFFFFF"/>
        </w:rPr>
      </w:pPr>
    </w:p>
    <w:p>
      <w:pPr>
        <w:pStyle w:val="11"/>
        <w:widowControl/>
        <w:shd w:val="clear" w:color="auto" w:fill="FFFFFF"/>
        <w:spacing w:beforeAutospacing="0" w:after="210" w:afterAutospacing="0"/>
        <w:ind w:firstLine="420"/>
        <w:rPr>
          <w:rFonts w:ascii="宋体" w:hAnsi="宋体" w:eastAsia="宋体" w:cs="宋体"/>
          <w:color w:val="000000"/>
          <w:sz w:val="21"/>
          <w:szCs w:val="21"/>
        </w:rPr>
      </w:pPr>
    </w:p>
    <w:p>
      <w:pPr>
        <w:pStyle w:val="11"/>
        <w:widowControl/>
        <w:shd w:val="clear" w:color="auto" w:fill="FFFFFF"/>
        <w:spacing w:beforeAutospacing="0" w:after="210" w:afterAutospacing="0"/>
        <w:ind w:firstLine="420"/>
        <w:rPr>
          <w:rFonts w:ascii="宋体" w:hAnsi="宋体" w:eastAsia="宋体" w:cs="宋体"/>
          <w:color w:val="000000"/>
          <w:sz w:val="21"/>
          <w:szCs w:val="21"/>
        </w:rPr>
      </w:pPr>
    </w:p>
    <w:p>
      <w:pPr>
        <w:pStyle w:val="11"/>
        <w:widowControl/>
        <w:shd w:val="clear" w:color="auto" w:fill="FFFFFF"/>
        <w:spacing w:beforeAutospacing="0" w:after="210" w:afterAutospacing="0"/>
        <w:ind w:firstLine="420"/>
        <w:rPr>
          <w:rFonts w:ascii="宋体" w:hAnsi="宋体" w:eastAsia="宋体" w:cs="宋体"/>
          <w:color w:val="000000"/>
          <w:sz w:val="21"/>
          <w:szCs w:val="21"/>
        </w:rPr>
      </w:pPr>
    </w:p>
    <w:p>
      <w:pPr>
        <w:pStyle w:val="11"/>
        <w:widowControl/>
        <w:shd w:val="clear" w:color="auto" w:fill="FFFFFF"/>
        <w:spacing w:beforeAutospacing="0" w:after="210" w:afterAutospacing="0"/>
        <w:ind w:firstLine="420"/>
        <w:rPr>
          <w:rFonts w:ascii="宋体" w:hAnsi="宋体" w:eastAsia="宋体" w:cs="宋体"/>
          <w:color w:val="000000"/>
          <w:sz w:val="21"/>
          <w:szCs w:val="21"/>
        </w:rPr>
      </w:pPr>
    </w:p>
    <w:p>
      <w:pPr>
        <w:pStyle w:val="11"/>
        <w:widowControl/>
        <w:shd w:val="clear" w:color="auto" w:fill="FFFFFF"/>
        <w:spacing w:beforeAutospacing="0" w:after="210" w:afterAutospacing="0"/>
        <w:ind w:firstLine="420"/>
        <w:rPr>
          <w:rFonts w:ascii="宋体" w:hAnsi="宋体" w:eastAsia="宋体" w:cs="宋体"/>
          <w:color w:val="000000"/>
          <w:sz w:val="21"/>
          <w:szCs w:val="21"/>
        </w:rPr>
      </w:pPr>
    </w:p>
    <w:p>
      <w:pPr>
        <w:pStyle w:val="11"/>
        <w:widowControl/>
        <w:shd w:val="clear" w:color="auto" w:fill="FFFFFF"/>
        <w:spacing w:beforeAutospacing="0" w:after="210" w:afterAutospacing="0"/>
        <w:ind w:firstLine="420"/>
        <w:rPr>
          <w:rFonts w:ascii="宋体" w:hAnsi="宋体" w:eastAsia="宋体" w:cs="宋体"/>
          <w:color w:val="000000"/>
          <w:sz w:val="21"/>
          <w:szCs w:val="21"/>
        </w:rPr>
      </w:pPr>
    </w:p>
    <w:p>
      <w:pPr>
        <w:pStyle w:val="11"/>
        <w:widowControl/>
        <w:shd w:val="clear" w:color="auto" w:fill="FFFFFF"/>
        <w:spacing w:beforeAutospacing="0" w:after="210" w:afterAutospacing="0"/>
        <w:ind w:firstLine="420"/>
        <w:rPr>
          <w:rFonts w:ascii="宋体" w:hAnsi="宋体" w:eastAsia="宋体" w:cs="宋体"/>
          <w:color w:val="000000"/>
          <w:sz w:val="21"/>
          <w:szCs w:val="21"/>
        </w:rPr>
      </w:pPr>
    </w:p>
    <w:p>
      <w:pPr>
        <w:pStyle w:val="11"/>
        <w:widowControl/>
        <w:spacing w:beforeAutospacing="0" w:afterAutospacing="0"/>
        <w:jc w:val="center"/>
        <w:rPr>
          <w:rFonts w:asciiTheme="minorEastAsia" w:hAnsiTheme="minorEastAsia" w:cstheme="minorEastAsia"/>
          <w:b/>
          <w:bCs/>
          <w:sz w:val="28"/>
          <w:szCs w:val="28"/>
        </w:rPr>
      </w:pPr>
      <w:r>
        <w:rPr>
          <w:rFonts w:hint="eastAsia" w:asciiTheme="minorEastAsia" w:hAnsiTheme="minorEastAsia" w:cstheme="minorEastAsia"/>
          <w:b/>
          <w:bCs/>
          <w:sz w:val="28"/>
          <w:szCs w:val="28"/>
        </w:rPr>
        <w:t>标准起草工作组</w:t>
      </w:r>
    </w:p>
    <w:p>
      <w:pPr>
        <w:pStyle w:val="11"/>
        <w:widowControl/>
        <w:spacing w:beforeAutospacing="0" w:afterAutospacing="0"/>
        <w:jc w:val="center"/>
        <w:rPr>
          <w:rFonts w:asciiTheme="minorEastAsia" w:hAnsiTheme="minorEastAsia" w:cstheme="minorEastAsia"/>
          <w:b/>
          <w:bCs/>
          <w:sz w:val="28"/>
          <w:szCs w:val="28"/>
        </w:rPr>
      </w:pPr>
      <w:r>
        <w:rPr>
          <w:rFonts w:hint="eastAsia" w:asciiTheme="minorEastAsia" w:hAnsiTheme="minorEastAsia" w:cstheme="minorEastAsia"/>
          <w:b/>
          <w:bCs/>
          <w:sz w:val="28"/>
          <w:szCs w:val="28"/>
          <w:lang w:val="en-US" w:eastAsia="zh-CN"/>
        </w:rPr>
        <w:t>2024</w:t>
      </w:r>
      <w:r>
        <w:rPr>
          <w:rFonts w:hint="eastAsia" w:asciiTheme="minorEastAsia" w:hAnsiTheme="minorEastAsia" w:cstheme="minorEastAsia"/>
          <w:b/>
          <w:bCs/>
          <w:sz w:val="28"/>
          <w:szCs w:val="28"/>
        </w:rPr>
        <w:t xml:space="preserve">年 </w:t>
      </w:r>
      <w:r>
        <w:rPr>
          <w:rFonts w:hint="eastAsia" w:asciiTheme="minorEastAsia" w:hAnsiTheme="minorEastAsia" w:cstheme="minorEastAsia"/>
          <w:b/>
          <w:bCs/>
          <w:sz w:val="28"/>
          <w:szCs w:val="28"/>
          <w:lang w:val="en-US" w:eastAsia="zh-CN"/>
        </w:rPr>
        <w:t>6</w:t>
      </w:r>
      <w:r>
        <w:rPr>
          <w:rFonts w:hint="eastAsia" w:asciiTheme="minorEastAsia" w:hAnsiTheme="minorEastAsia" w:cstheme="minorEastAsia"/>
          <w:b/>
          <w:bCs/>
          <w:sz w:val="28"/>
          <w:szCs w:val="28"/>
        </w:rPr>
        <w:t xml:space="preserve"> 月</w:t>
      </w:r>
    </w:p>
    <w:p>
      <w:pPr>
        <w:pStyle w:val="11"/>
        <w:widowControl/>
        <w:shd w:val="clear" w:color="auto" w:fill="FFFFFF"/>
        <w:spacing w:beforeAutospacing="0" w:after="210" w:afterAutospacing="0"/>
        <w:ind w:firstLine="420"/>
        <w:rPr>
          <w:rFonts w:ascii="宋体" w:hAnsi="宋体" w:eastAsia="宋体" w:cs="宋体"/>
          <w:color w:val="000000"/>
          <w:sz w:val="21"/>
          <w:szCs w:val="21"/>
        </w:rPr>
      </w:pPr>
    </w:p>
    <w:p>
      <w:pPr>
        <w:pStyle w:val="11"/>
        <w:widowControl/>
        <w:shd w:val="clear" w:color="auto" w:fill="FFFFFF"/>
        <w:spacing w:beforeAutospacing="0" w:after="210" w:afterAutospacing="0"/>
        <w:ind w:firstLine="420"/>
        <w:rPr>
          <w:rFonts w:ascii="宋体" w:hAnsi="宋体" w:eastAsia="宋体" w:cs="宋体"/>
          <w:color w:val="000000"/>
          <w:sz w:val="21"/>
          <w:szCs w:val="21"/>
        </w:rPr>
        <w:sectPr>
          <w:pgSz w:w="11906" w:h="16838"/>
          <w:pgMar w:top="1440" w:right="1800" w:bottom="1440" w:left="1800" w:header="851" w:footer="992" w:gutter="0"/>
          <w:cols w:space="425" w:num="1"/>
          <w:docGrid w:type="lines" w:linePitch="312" w:charSpace="0"/>
        </w:sectPr>
      </w:pPr>
    </w:p>
    <w:p>
      <w:pPr>
        <w:pStyle w:val="11"/>
        <w:widowControl/>
        <w:shd w:val="clear" w:color="auto" w:fill="FFFFFF"/>
        <w:spacing w:beforeAutospacing="0" w:after="210" w:afterAutospacing="0"/>
        <w:ind w:firstLine="420"/>
        <w:jc w:val="center"/>
        <w:rPr>
          <w:rFonts w:ascii="宋体" w:hAnsi="宋体" w:eastAsia="宋体" w:cs="宋体"/>
          <w:b/>
          <w:bCs/>
          <w:color w:val="000000"/>
          <w:sz w:val="32"/>
          <w:szCs w:val="32"/>
          <w:shd w:val="clear" w:color="auto" w:fill="FFFFFF"/>
        </w:rPr>
      </w:pPr>
      <w:r>
        <w:rPr>
          <w:rFonts w:hint="eastAsia" w:ascii="宋体" w:hAnsi="宋体" w:eastAsia="宋体" w:cs="宋体"/>
          <w:b/>
          <w:bCs/>
          <w:color w:val="000000"/>
          <w:sz w:val="32"/>
          <w:szCs w:val="32"/>
          <w:shd w:val="clear" w:color="auto" w:fill="FFFFFF"/>
        </w:rPr>
        <w:t>目  录</w:t>
      </w:r>
    </w:p>
    <w:p>
      <w:pPr>
        <w:pStyle w:val="9"/>
        <w:tabs>
          <w:tab w:val="right" w:leader="dot" w:pos="8306"/>
        </w:tabs>
        <w:spacing w:line="360" w:lineRule="auto"/>
        <w:rPr>
          <w:rFonts w:ascii="Times New Roman" w:hAnsi="Times New Roman" w:cs="Times New Roman"/>
          <w:b/>
          <w:bCs/>
          <w:sz w:val="24"/>
        </w:rPr>
      </w:pPr>
      <w:r>
        <w:rPr>
          <w:rFonts w:ascii="Times New Roman" w:hAnsi="Times New Roman" w:cs="Times New Roman"/>
          <w:color w:val="000000"/>
          <w:sz w:val="24"/>
          <w:shd w:val="clear" w:color="auto" w:fill="FFFFFF"/>
        </w:rPr>
        <w:fldChar w:fldCharType="begin"/>
      </w:r>
      <w:r>
        <w:rPr>
          <w:rFonts w:ascii="Times New Roman" w:hAnsi="Times New Roman" w:cs="Times New Roman"/>
          <w:color w:val="000000"/>
          <w:sz w:val="24"/>
          <w:shd w:val="clear" w:color="auto" w:fill="FFFFFF"/>
        </w:rPr>
        <w:instrText xml:space="preserve">TOC \o "1-2" \h \u </w:instrText>
      </w:r>
      <w:r>
        <w:rPr>
          <w:rFonts w:ascii="Times New Roman" w:hAnsi="Times New Roman" w:cs="Times New Roman"/>
          <w:color w:val="000000"/>
          <w:sz w:val="24"/>
          <w:shd w:val="clear" w:color="auto" w:fill="FFFFFF"/>
        </w:rPr>
        <w:fldChar w:fldCharType="separate"/>
      </w:r>
      <w:r>
        <w:fldChar w:fldCharType="begin"/>
      </w:r>
      <w:r>
        <w:instrText xml:space="preserve"> HYPERLINK \l "_Toc1224" </w:instrText>
      </w:r>
      <w:r>
        <w:fldChar w:fldCharType="separate"/>
      </w:r>
      <w:r>
        <w:rPr>
          <w:rFonts w:ascii="Times New Roman" w:hAnsi="Times New Roman" w:cs="Times New Roman"/>
          <w:b/>
          <w:bCs/>
          <w:sz w:val="24"/>
        </w:rPr>
        <w:t>一、目的意义</w:t>
      </w:r>
      <w:r>
        <w:rPr>
          <w:rFonts w:ascii="Times New Roman" w:hAnsi="Times New Roman" w:cs="Times New Roman"/>
          <w:b/>
          <w:bCs/>
          <w:sz w:val="24"/>
        </w:rPr>
        <w:tab/>
      </w:r>
      <w:r>
        <w:rPr>
          <w:rFonts w:ascii="Times New Roman" w:hAnsi="Times New Roman" w:cs="Times New Roman"/>
          <w:b/>
          <w:bCs/>
          <w:sz w:val="24"/>
        </w:rPr>
        <w:fldChar w:fldCharType="begin"/>
      </w:r>
      <w:r>
        <w:rPr>
          <w:rFonts w:ascii="Times New Roman" w:hAnsi="Times New Roman" w:cs="Times New Roman"/>
          <w:b/>
          <w:bCs/>
          <w:sz w:val="24"/>
        </w:rPr>
        <w:instrText xml:space="preserve"> PAGEREF _Toc1224 \h </w:instrText>
      </w:r>
      <w:r>
        <w:rPr>
          <w:rFonts w:ascii="Times New Roman" w:hAnsi="Times New Roman" w:cs="Times New Roman"/>
          <w:b/>
          <w:bCs/>
          <w:sz w:val="24"/>
        </w:rPr>
        <w:fldChar w:fldCharType="separate"/>
      </w:r>
      <w:r>
        <w:rPr>
          <w:rFonts w:ascii="Times New Roman" w:hAnsi="Times New Roman" w:cs="Times New Roman"/>
          <w:b/>
          <w:bCs/>
          <w:sz w:val="24"/>
        </w:rPr>
        <w:t>1</w:t>
      </w:r>
      <w:r>
        <w:rPr>
          <w:rFonts w:ascii="Times New Roman" w:hAnsi="Times New Roman" w:cs="Times New Roman"/>
          <w:b/>
          <w:bCs/>
          <w:sz w:val="24"/>
        </w:rPr>
        <w:fldChar w:fldCharType="end"/>
      </w:r>
      <w:r>
        <w:rPr>
          <w:rFonts w:ascii="Times New Roman" w:hAnsi="Times New Roman" w:cs="Times New Roman"/>
          <w:b/>
          <w:bCs/>
          <w:sz w:val="24"/>
        </w:rPr>
        <w:fldChar w:fldCharType="end"/>
      </w:r>
    </w:p>
    <w:p>
      <w:pPr>
        <w:pStyle w:val="9"/>
        <w:tabs>
          <w:tab w:val="right" w:leader="dot" w:pos="8306"/>
        </w:tabs>
        <w:spacing w:line="360" w:lineRule="auto"/>
        <w:rPr>
          <w:rFonts w:ascii="Times New Roman" w:hAnsi="Times New Roman" w:cs="Times New Roman"/>
          <w:b/>
          <w:bCs/>
          <w:sz w:val="24"/>
        </w:rPr>
      </w:pPr>
      <w:r>
        <w:fldChar w:fldCharType="begin"/>
      </w:r>
      <w:r>
        <w:instrText xml:space="preserve"> HYPERLINK \l "_Toc25110" </w:instrText>
      </w:r>
      <w:r>
        <w:fldChar w:fldCharType="separate"/>
      </w:r>
      <w:r>
        <w:rPr>
          <w:rFonts w:ascii="Times New Roman" w:hAnsi="Times New Roman" w:cs="Times New Roman"/>
          <w:b/>
          <w:bCs/>
          <w:sz w:val="24"/>
        </w:rPr>
        <w:t>二、任务来源</w:t>
      </w:r>
      <w:r>
        <w:rPr>
          <w:rFonts w:ascii="Times New Roman" w:hAnsi="Times New Roman" w:cs="Times New Roman"/>
          <w:b/>
          <w:bCs/>
          <w:sz w:val="24"/>
        </w:rPr>
        <w:tab/>
      </w:r>
      <w:r>
        <w:rPr>
          <w:rFonts w:ascii="Times New Roman" w:hAnsi="Times New Roman" w:cs="Times New Roman"/>
          <w:b/>
          <w:bCs/>
          <w:sz w:val="24"/>
        </w:rPr>
        <w:fldChar w:fldCharType="begin"/>
      </w:r>
      <w:r>
        <w:rPr>
          <w:rFonts w:ascii="Times New Roman" w:hAnsi="Times New Roman" w:cs="Times New Roman"/>
          <w:b/>
          <w:bCs/>
          <w:sz w:val="24"/>
        </w:rPr>
        <w:instrText xml:space="preserve"> PAGEREF _Toc25110 \h </w:instrText>
      </w:r>
      <w:r>
        <w:rPr>
          <w:rFonts w:ascii="Times New Roman" w:hAnsi="Times New Roman" w:cs="Times New Roman"/>
          <w:b/>
          <w:bCs/>
          <w:sz w:val="24"/>
        </w:rPr>
        <w:fldChar w:fldCharType="separate"/>
      </w:r>
      <w:r>
        <w:rPr>
          <w:rFonts w:ascii="Times New Roman" w:hAnsi="Times New Roman" w:cs="Times New Roman"/>
          <w:b/>
          <w:bCs/>
          <w:sz w:val="24"/>
        </w:rPr>
        <w:t>6</w:t>
      </w:r>
      <w:r>
        <w:rPr>
          <w:rFonts w:ascii="Times New Roman" w:hAnsi="Times New Roman" w:cs="Times New Roman"/>
          <w:b/>
          <w:bCs/>
          <w:sz w:val="24"/>
        </w:rPr>
        <w:fldChar w:fldCharType="end"/>
      </w:r>
      <w:r>
        <w:rPr>
          <w:rFonts w:ascii="Times New Roman" w:hAnsi="Times New Roman" w:cs="Times New Roman"/>
          <w:b/>
          <w:bCs/>
          <w:sz w:val="24"/>
        </w:rPr>
        <w:fldChar w:fldCharType="end"/>
      </w:r>
    </w:p>
    <w:p>
      <w:pPr>
        <w:pStyle w:val="9"/>
        <w:tabs>
          <w:tab w:val="right" w:leader="dot" w:pos="8306"/>
        </w:tabs>
        <w:spacing w:line="360" w:lineRule="auto"/>
        <w:rPr>
          <w:rFonts w:ascii="Times New Roman" w:hAnsi="Times New Roman" w:cs="Times New Roman"/>
          <w:b/>
          <w:bCs/>
          <w:sz w:val="24"/>
        </w:rPr>
      </w:pPr>
      <w:r>
        <w:fldChar w:fldCharType="begin"/>
      </w:r>
      <w:r>
        <w:instrText xml:space="preserve"> HYPERLINK \l "_Toc18778" </w:instrText>
      </w:r>
      <w:r>
        <w:fldChar w:fldCharType="separate"/>
      </w:r>
      <w:r>
        <w:rPr>
          <w:rFonts w:ascii="Times New Roman" w:hAnsi="Times New Roman" w:cs="Times New Roman"/>
          <w:b/>
          <w:bCs/>
          <w:sz w:val="24"/>
        </w:rPr>
        <w:t>三、编制过程</w:t>
      </w:r>
      <w:r>
        <w:rPr>
          <w:rFonts w:ascii="Times New Roman" w:hAnsi="Times New Roman" w:cs="Times New Roman"/>
          <w:b/>
          <w:bCs/>
          <w:sz w:val="24"/>
        </w:rPr>
        <w:tab/>
      </w:r>
      <w:r>
        <w:rPr>
          <w:rFonts w:ascii="Times New Roman" w:hAnsi="Times New Roman" w:cs="Times New Roman"/>
          <w:b/>
          <w:bCs/>
          <w:sz w:val="24"/>
        </w:rPr>
        <w:fldChar w:fldCharType="begin"/>
      </w:r>
      <w:r>
        <w:rPr>
          <w:rFonts w:ascii="Times New Roman" w:hAnsi="Times New Roman" w:cs="Times New Roman"/>
          <w:b/>
          <w:bCs/>
          <w:sz w:val="24"/>
        </w:rPr>
        <w:instrText xml:space="preserve"> PAGEREF _Toc18778 \h </w:instrText>
      </w:r>
      <w:r>
        <w:rPr>
          <w:rFonts w:ascii="Times New Roman" w:hAnsi="Times New Roman" w:cs="Times New Roman"/>
          <w:b/>
          <w:bCs/>
          <w:sz w:val="24"/>
        </w:rPr>
        <w:fldChar w:fldCharType="separate"/>
      </w:r>
      <w:r>
        <w:rPr>
          <w:rFonts w:ascii="Times New Roman" w:hAnsi="Times New Roman" w:cs="Times New Roman"/>
          <w:b/>
          <w:bCs/>
          <w:sz w:val="24"/>
        </w:rPr>
        <w:t>7</w:t>
      </w:r>
      <w:r>
        <w:rPr>
          <w:rFonts w:ascii="Times New Roman" w:hAnsi="Times New Roman" w:cs="Times New Roman"/>
          <w:b/>
          <w:bCs/>
          <w:sz w:val="24"/>
        </w:rPr>
        <w:fldChar w:fldCharType="end"/>
      </w:r>
      <w:r>
        <w:rPr>
          <w:rFonts w:ascii="Times New Roman" w:hAnsi="Times New Roman" w:cs="Times New Roman"/>
          <w:b/>
          <w:bCs/>
          <w:sz w:val="24"/>
        </w:rPr>
        <w:fldChar w:fldCharType="end"/>
      </w:r>
    </w:p>
    <w:p>
      <w:pPr>
        <w:pStyle w:val="9"/>
        <w:tabs>
          <w:tab w:val="right" w:leader="dot" w:pos="8306"/>
        </w:tabs>
        <w:spacing w:line="360" w:lineRule="auto"/>
        <w:rPr>
          <w:rFonts w:ascii="Times New Roman" w:hAnsi="Times New Roman" w:cs="Times New Roman"/>
          <w:b/>
          <w:bCs/>
          <w:sz w:val="24"/>
        </w:rPr>
      </w:pPr>
      <w:r>
        <w:fldChar w:fldCharType="begin"/>
      </w:r>
      <w:r>
        <w:instrText xml:space="preserve"> HYPERLINK \l "_Toc5476" </w:instrText>
      </w:r>
      <w:r>
        <w:fldChar w:fldCharType="separate"/>
      </w:r>
      <w:r>
        <w:rPr>
          <w:rFonts w:ascii="Times New Roman" w:hAnsi="Times New Roman" w:cs="Times New Roman"/>
          <w:b/>
          <w:bCs/>
          <w:sz w:val="24"/>
        </w:rPr>
        <w:t>四、主要内容技术指标确立</w:t>
      </w:r>
      <w:r>
        <w:rPr>
          <w:rFonts w:ascii="Times New Roman" w:hAnsi="Times New Roman" w:cs="Times New Roman"/>
          <w:b/>
          <w:bCs/>
          <w:sz w:val="24"/>
        </w:rPr>
        <w:tab/>
      </w:r>
      <w:r>
        <w:rPr>
          <w:rFonts w:ascii="Times New Roman" w:hAnsi="Times New Roman" w:cs="Times New Roman"/>
          <w:b/>
          <w:bCs/>
          <w:sz w:val="24"/>
        </w:rPr>
        <w:fldChar w:fldCharType="begin"/>
      </w:r>
      <w:r>
        <w:rPr>
          <w:rFonts w:ascii="Times New Roman" w:hAnsi="Times New Roman" w:cs="Times New Roman"/>
          <w:b/>
          <w:bCs/>
          <w:sz w:val="24"/>
        </w:rPr>
        <w:instrText xml:space="preserve"> PAGEREF _Toc5476 \h </w:instrText>
      </w:r>
      <w:r>
        <w:rPr>
          <w:rFonts w:ascii="Times New Roman" w:hAnsi="Times New Roman" w:cs="Times New Roman"/>
          <w:b/>
          <w:bCs/>
          <w:sz w:val="24"/>
        </w:rPr>
        <w:fldChar w:fldCharType="separate"/>
      </w:r>
      <w:r>
        <w:rPr>
          <w:rFonts w:ascii="Times New Roman" w:hAnsi="Times New Roman" w:cs="Times New Roman"/>
          <w:b/>
          <w:bCs/>
          <w:sz w:val="24"/>
        </w:rPr>
        <w:t>11</w:t>
      </w:r>
      <w:r>
        <w:rPr>
          <w:rFonts w:ascii="Times New Roman" w:hAnsi="Times New Roman" w:cs="Times New Roman"/>
          <w:b/>
          <w:bCs/>
          <w:sz w:val="24"/>
        </w:rPr>
        <w:fldChar w:fldCharType="end"/>
      </w:r>
      <w:r>
        <w:rPr>
          <w:rFonts w:ascii="Times New Roman" w:hAnsi="Times New Roman" w:cs="Times New Roman"/>
          <w:b/>
          <w:bCs/>
          <w:sz w:val="24"/>
        </w:rPr>
        <w:fldChar w:fldCharType="end"/>
      </w:r>
    </w:p>
    <w:p>
      <w:pPr>
        <w:pStyle w:val="9"/>
        <w:tabs>
          <w:tab w:val="right" w:leader="dot" w:pos="8306"/>
        </w:tabs>
        <w:spacing w:line="360" w:lineRule="auto"/>
        <w:rPr>
          <w:rFonts w:ascii="Times New Roman" w:hAnsi="Times New Roman" w:cs="Times New Roman"/>
          <w:b/>
          <w:bCs/>
          <w:sz w:val="24"/>
        </w:rPr>
      </w:pPr>
      <w:r>
        <w:fldChar w:fldCharType="begin"/>
      </w:r>
      <w:r>
        <w:instrText xml:space="preserve"> HYPERLINK \l "_Toc30953" </w:instrText>
      </w:r>
      <w:r>
        <w:fldChar w:fldCharType="separate"/>
      </w:r>
      <w:r>
        <w:rPr>
          <w:rFonts w:ascii="Times New Roman" w:hAnsi="Times New Roman" w:cs="Times New Roman"/>
          <w:b/>
          <w:bCs/>
          <w:sz w:val="24"/>
        </w:rPr>
        <w:t>五、与相关法律法规和国家标准的关系</w:t>
      </w:r>
      <w:r>
        <w:rPr>
          <w:rFonts w:ascii="Times New Roman" w:hAnsi="Times New Roman" w:cs="Times New Roman"/>
          <w:b/>
          <w:bCs/>
          <w:sz w:val="24"/>
        </w:rPr>
        <w:tab/>
      </w:r>
      <w:r>
        <w:rPr>
          <w:rFonts w:ascii="Times New Roman" w:hAnsi="Times New Roman" w:cs="Times New Roman"/>
          <w:b/>
          <w:bCs/>
          <w:sz w:val="24"/>
        </w:rPr>
        <w:fldChar w:fldCharType="begin"/>
      </w:r>
      <w:r>
        <w:rPr>
          <w:rFonts w:ascii="Times New Roman" w:hAnsi="Times New Roman" w:cs="Times New Roman"/>
          <w:b/>
          <w:bCs/>
          <w:sz w:val="24"/>
        </w:rPr>
        <w:instrText xml:space="preserve"> PAGEREF _Toc30953 \h </w:instrText>
      </w:r>
      <w:r>
        <w:rPr>
          <w:rFonts w:ascii="Times New Roman" w:hAnsi="Times New Roman" w:cs="Times New Roman"/>
          <w:b/>
          <w:bCs/>
          <w:sz w:val="24"/>
        </w:rPr>
        <w:fldChar w:fldCharType="separate"/>
      </w:r>
      <w:r>
        <w:rPr>
          <w:rFonts w:ascii="Times New Roman" w:hAnsi="Times New Roman" w:cs="Times New Roman"/>
          <w:b/>
          <w:bCs/>
          <w:sz w:val="24"/>
        </w:rPr>
        <w:t>16</w:t>
      </w:r>
      <w:r>
        <w:rPr>
          <w:rFonts w:ascii="Times New Roman" w:hAnsi="Times New Roman" w:cs="Times New Roman"/>
          <w:b/>
          <w:bCs/>
          <w:sz w:val="24"/>
        </w:rPr>
        <w:fldChar w:fldCharType="end"/>
      </w:r>
      <w:r>
        <w:rPr>
          <w:rFonts w:ascii="Times New Roman" w:hAnsi="Times New Roman" w:cs="Times New Roman"/>
          <w:b/>
          <w:bCs/>
          <w:sz w:val="24"/>
        </w:rPr>
        <w:fldChar w:fldCharType="end"/>
      </w:r>
    </w:p>
    <w:p>
      <w:pPr>
        <w:pStyle w:val="9"/>
        <w:tabs>
          <w:tab w:val="right" w:leader="dot" w:pos="8306"/>
        </w:tabs>
        <w:spacing w:line="360" w:lineRule="auto"/>
        <w:rPr>
          <w:rFonts w:ascii="Times New Roman" w:hAnsi="Times New Roman" w:cs="Times New Roman"/>
          <w:b/>
          <w:bCs/>
          <w:sz w:val="24"/>
        </w:rPr>
      </w:pPr>
      <w:r>
        <w:fldChar w:fldCharType="begin"/>
      </w:r>
      <w:r>
        <w:instrText xml:space="preserve"> HYPERLINK \l "_Toc19572" </w:instrText>
      </w:r>
      <w:r>
        <w:fldChar w:fldCharType="separate"/>
      </w:r>
      <w:r>
        <w:rPr>
          <w:rFonts w:ascii="Times New Roman" w:hAnsi="Times New Roman" w:cs="Times New Roman"/>
          <w:b/>
          <w:bCs/>
          <w:sz w:val="24"/>
        </w:rPr>
        <w:t>六、实施推广建议</w:t>
      </w:r>
      <w:r>
        <w:rPr>
          <w:rFonts w:ascii="Times New Roman" w:hAnsi="Times New Roman" w:cs="Times New Roman"/>
          <w:b/>
          <w:bCs/>
          <w:sz w:val="24"/>
        </w:rPr>
        <w:tab/>
      </w:r>
      <w:r>
        <w:rPr>
          <w:rFonts w:ascii="Times New Roman" w:hAnsi="Times New Roman" w:cs="Times New Roman"/>
          <w:b/>
          <w:bCs/>
          <w:sz w:val="24"/>
        </w:rPr>
        <w:fldChar w:fldCharType="begin"/>
      </w:r>
      <w:r>
        <w:rPr>
          <w:rFonts w:ascii="Times New Roman" w:hAnsi="Times New Roman" w:cs="Times New Roman"/>
          <w:b/>
          <w:bCs/>
          <w:sz w:val="24"/>
        </w:rPr>
        <w:instrText xml:space="preserve"> PAGEREF _Toc19572 \h </w:instrText>
      </w:r>
      <w:r>
        <w:rPr>
          <w:rFonts w:ascii="Times New Roman" w:hAnsi="Times New Roman" w:cs="Times New Roman"/>
          <w:b/>
          <w:bCs/>
          <w:sz w:val="24"/>
        </w:rPr>
        <w:fldChar w:fldCharType="separate"/>
      </w:r>
      <w:r>
        <w:rPr>
          <w:rFonts w:ascii="Times New Roman" w:hAnsi="Times New Roman" w:cs="Times New Roman"/>
          <w:b/>
          <w:bCs/>
          <w:sz w:val="24"/>
        </w:rPr>
        <w:t>17</w:t>
      </w:r>
      <w:r>
        <w:rPr>
          <w:rFonts w:ascii="Times New Roman" w:hAnsi="Times New Roman" w:cs="Times New Roman"/>
          <w:b/>
          <w:bCs/>
          <w:sz w:val="24"/>
        </w:rPr>
        <w:fldChar w:fldCharType="end"/>
      </w:r>
      <w:r>
        <w:rPr>
          <w:rFonts w:ascii="Times New Roman" w:hAnsi="Times New Roman" w:cs="Times New Roman"/>
          <w:b/>
          <w:bCs/>
          <w:sz w:val="24"/>
        </w:rPr>
        <w:fldChar w:fldCharType="end"/>
      </w:r>
    </w:p>
    <w:p>
      <w:pPr>
        <w:pStyle w:val="11"/>
        <w:widowControl/>
        <w:shd w:val="clear" w:color="auto" w:fill="FFFFFF"/>
        <w:spacing w:beforeAutospacing="0" w:after="210" w:afterAutospacing="0" w:line="360" w:lineRule="auto"/>
        <w:ind w:firstLine="420"/>
        <w:rPr>
          <w:rFonts w:ascii="宋体" w:hAnsi="宋体" w:eastAsia="宋体" w:cs="宋体"/>
          <w:color w:val="000000"/>
          <w:sz w:val="21"/>
          <w:szCs w:val="21"/>
          <w:shd w:val="clear" w:color="auto" w:fill="FFFFFF"/>
        </w:rPr>
      </w:pPr>
      <w:r>
        <w:rPr>
          <w:rFonts w:ascii="Times New Roman" w:hAnsi="Times New Roman"/>
          <w:color w:val="000000"/>
          <w:shd w:val="clear" w:color="auto" w:fill="FFFFFF"/>
        </w:rPr>
        <w:fldChar w:fldCharType="end"/>
      </w:r>
    </w:p>
    <w:p>
      <w:pPr>
        <w:pStyle w:val="11"/>
        <w:widowControl/>
        <w:shd w:val="clear" w:color="auto" w:fill="FFFFFF"/>
        <w:spacing w:beforeAutospacing="0" w:after="210" w:afterAutospacing="0"/>
        <w:ind w:firstLine="420"/>
        <w:rPr>
          <w:rFonts w:ascii="宋体" w:hAnsi="宋体" w:eastAsia="宋体" w:cs="宋体"/>
          <w:color w:val="000000"/>
          <w:sz w:val="21"/>
          <w:szCs w:val="21"/>
          <w:shd w:val="clear" w:color="auto" w:fill="FFFFFF"/>
        </w:rPr>
      </w:pPr>
    </w:p>
    <w:p>
      <w:pPr>
        <w:pStyle w:val="11"/>
        <w:widowControl/>
        <w:shd w:val="clear" w:color="auto" w:fill="FFFFFF"/>
        <w:spacing w:beforeAutospacing="0" w:after="210" w:afterAutospacing="0"/>
        <w:ind w:firstLine="420"/>
        <w:rPr>
          <w:rFonts w:ascii="宋体" w:hAnsi="宋体" w:eastAsia="宋体" w:cs="宋体"/>
          <w:color w:val="000000"/>
          <w:sz w:val="21"/>
          <w:szCs w:val="21"/>
          <w:shd w:val="clear" w:color="auto" w:fill="FFFFFF"/>
        </w:rPr>
      </w:pPr>
    </w:p>
    <w:p>
      <w:pPr>
        <w:pStyle w:val="11"/>
        <w:widowControl/>
        <w:shd w:val="clear" w:color="auto" w:fill="FFFFFF"/>
        <w:spacing w:beforeAutospacing="0" w:after="210" w:afterAutospacing="0"/>
        <w:ind w:firstLine="420"/>
        <w:rPr>
          <w:rFonts w:ascii="宋体" w:hAnsi="宋体" w:eastAsia="宋体" w:cs="宋体"/>
          <w:color w:val="000000"/>
          <w:sz w:val="21"/>
          <w:szCs w:val="21"/>
          <w:shd w:val="clear" w:color="auto" w:fill="FFFFFF"/>
        </w:rPr>
        <w:sectPr>
          <w:pgSz w:w="11906" w:h="16838"/>
          <w:pgMar w:top="1440" w:right="1800" w:bottom="1440" w:left="1800" w:header="851" w:footer="992" w:gutter="0"/>
          <w:cols w:space="425" w:num="1"/>
          <w:docGrid w:type="lines" w:linePitch="312" w:charSpace="0"/>
        </w:sectPr>
      </w:pPr>
    </w:p>
    <w:p>
      <w:pPr>
        <w:pStyle w:val="3"/>
        <w:spacing w:before="100" w:after="100"/>
        <w:rPr>
          <w:rFonts w:ascii="黑体" w:hAnsi="黑体" w:eastAsia="黑体" w:cs="黑体"/>
          <w:sz w:val="36"/>
          <w:szCs w:val="36"/>
        </w:rPr>
      </w:pPr>
      <w:bookmarkStart w:id="0" w:name="_Toc1224"/>
      <w:r>
        <w:rPr>
          <w:rFonts w:hint="eastAsia" w:ascii="黑体" w:hAnsi="黑体" w:eastAsia="黑体" w:cs="黑体"/>
          <w:sz w:val="36"/>
          <w:szCs w:val="36"/>
        </w:rPr>
        <w:t>一、目的意义</w:t>
      </w:r>
      <w:bookmarkEnd w:id="0"/>
    </w:p>
    <w:p>
      <w:pPr>
        <w:pStyle w:val="4"/>
        <w:rPr>
          <w:rFonts w:ascii="Times New Roman" w:hAnsi="Times New Roman" w:cs="Times New Roman"/>
        </w:rPr>
      </w:pPr>
      <w:bookmarkStart w:id="1" w:name="_Toc13183"/>
      <w:r>
        <w:rPr>
          <w:rFonts w:ascii="Times New Roman" w:hAnsi="Times New Roman" w:cs="Times New Roman"/>
        </w:rPr>
        <w:t>1.1 发展现状</w:t>
      </w:r>
      <w:bookmarkEnd w:id="1"/>
    </w:p>
    <w:p>
      <w:pPr>
        <w:snapToGrid w:val="0"/>
        <w:spacing w:line="360" w:lineRule="auto"/>
        <w:ind w:firstLine="560" w:firstLineChars="200"/>
        <w:rPr>
          <w:rFonts w:hint="eastAsia" w:ascii="仿宋" w:hAnsi="仿宋" w:eastAsia="仿宋" w:cs="仿宋"/>
          <w:color w:val="000000"/>
          <w:sz w:val="28"/>
          <w:szCs w:val="28"/>
          <w:lang w:val="zh-CN"/>
        </w:rPr>
      </w:pPr>
      <w:r>
        <w:rPr>
          <w:rFonts w:hint="eastAsia" w:ascii="仿宋" w:hAnsi="仿宋" w:eastAsia="仿宋" w:cs="仿宋"/>
          <w:color w:val="000000"/>
          <w:sz w:val="28"/>
          <w:szCs w:val="28"/>
          <w:lang w:val="zh-CN"/>
        </w:rPr>
        <w:t>我国公路建设经历近20年的飞速发展，公路建设已经达到国际领先水平，港珠澳大桥等一批重点工程建设项目，标志着我国公路基础设施建设全面进入了新的发展阶段。交通强国、平安百年品质工程等政策指示进一步指明了在新的时期公路基础设施建设的发展方向，公路基础设施的高质量发展也是广大同行共同努力的目标。公路基础设施建设的高质量发展重点取决于耐久品质提升与工程的高效管理。</w:t>
      </w:r>
    </w:p>
    <w:p>
      <w:pPr>
        <w:snapToGrid w:val="0"/>
        <w:spacing w:line="360" w:lineRule="auto"/>
        <w:ind w:firstLine="560" w:firstLineChars="200"/>
        <w:rPr>
          <w:rFonts w:hint="eastAsia" w:ascii="仿宋" w:hAnsi="仿宋" w:eastAsia="仿宋" w:cs="仿宋"/>
          <w:color w:val="000000"/>
          <w:sz w:val="28"/>
          <w:szCs w:val="28"/>
          <w:lang w:val="zh-CN"/>
        </w:rPr>
      </w:pPr>
      <w:r>
        <w:rPr>
          <w:rFonts w:hint="eastAsia" w:ascii="仿宋" w:hAnsi="仿宋" w:eastAsia="仿宋" w:cs="仿宋"/>
          <w:color w:val="000000"/>
          <w:sz w:val="28"/>
          <w:szCs w:val="28"/>
          <w:lang w:val="zh-CN"/>
        </w:rPr>
        <w:t>数字化、信息化、智慧化是提升质量耐久和提高管理效能的重要手段，也是时代发展不可逆的趋势与潮流。习近平总书记对于我国数字经济的发展做出了重要指示，数字交通也在十四五规划中列为重点发展方向。智慧工地是数字经济、数字交通在公路基础设施建设领域的重要体现，其通过物联网、互联网、5G、云计算等新一代信息技术，实现对于公路工程建设的全过程“人机料法环”智慧化管理，利用数据价值驱动质量与管理效能的提升。</w:t>
      </w:r>
    </w:p>
    <w:p>
      <w:pPr>
        <w:snapToGrid w:val="0"/>
        <w:spacing w:line="360" w:lineRule="auto"/>
        <w:ind w:firstLine="560" w:firstLineChars="200"/>
        <w:rPr>
          <w:rFonts w:hint="eastAsia" w:ascii="仿宋" w:hAnsi="仿宋" w:eastAsia="仿宋" w:cs="仿宋"/>
          <w:color w:val="000000"/>
          <w:sz w:val="28"/>
          <w:szCs w:val="28"/>
          <w:lang w:val="zh-CN"/>
        </w:rPr>
      </w:pPr>
      <w:r>
        <w:rPr>
          <w:rFonts w:hint="eastAsia" w:ascii="仿宋" w:hAnsi="仿宋" w:eastAsia="仿宋" w:cs="仿宋"/>
          <w:color w:val="000000"/>
          <w:sz w:val="28"/>
          <w:szCs w:val="28"/>
          <w:lang w:val="zh-CN"/>
        </w:rPr>
        <w:t>江苏省高速公路基础设施建设信息化起步较早，在智慧工地方面积累了大量的经验，以江苏省交通工程建设局为代表的智慧工地建设也经历几个发展阶段，从早起的单项技术的物联监测到集成式的智慧工地平台，再到依托专项技术监测形成的省级工程建设项目数据中心，在工程建设中得到了广泛应用与总结。结合工程建设高质量发展要求，以智慧工地为载体形成了汇聚试验检测、路面施工质量、桥梁施工质量、建设安全管理、绿色交通管理五个方面的省级数据中心平台，同时面向新时期江苏高速公路跨江大桥、改扩建等项目，汇聚形成了面向BIM协同的智慧工地聚合平台系统，其中具有典型代表意义的包括：以龙潭长江大桥、常泰长江大桥和张靖皋长江大桥为代表的跨江大桥智慧工地协同管理平台；以江阴靖江长江隧道、太湖隧道为代表的长大水下隧道智慧工地协同管理平台；以五峰山高速公路、京沪高速公路改扩建工程为代表的八车道高速公路智慧工地协同管理平台。面向新时期交通强国与数字交通的发展要求，江苏省在公路工程智慧工地方面积累的大量的实践经验，相关成果也推广应用到了兄弟省份的高速公路智慧工地建设中。</w:t>
      </w:r>
    </w:p>
    <w:p>
      <w:pPr>
        <w:pStyle w:val="11"/>
        <w:widowControl/>
        <w:shd w:val="clear" w:color="auto" w:fill="FFFFFF"/>
        <w:spacing w:beforeAutospacing="0" w:afterAutospacing="0" w:line="360" w:lineRule="auto"/>
        <w:ind w:firstLine="560" w:firstLineChars="200"/>
        <w:jc w:val="both"/>
        <w:rPr>
          <w:rFonts w:hint="eastAsia" w:ascii="仿宋" w:hAnsi="仿宋" w:eastAsia="仿宋" w:cs="仿宋"/>
          <w:color w:val="000000"/>
          <w:sz w:val="28"/>
          <w:szCs w:val="28"/>
          <w:shd w:val="clear" w:color="auto" w:fill="FFFFFF"/>
        </w:rPr>
      </w:pPr>
      <w:r>
        <w:rPr>
          <w:rFonts w:hint="eastAsia" w:ascii="仿宋" w:hAnsi="仿宋" w:eastAsia="仿宋" w:cs="仿宋"/>
          <w:color w:val="000000"/>
          <w:sz w:val="28"/>
          <w:szCs w:val="28"/>
          <w:lang w:val="zh-CN"/>
        </w:rPr>
        <w:t>当前阶段，智慧工地已经发展到了新的阶段，</w:t>
      </w:r>
      <w:r>
        <w:rPr>
          <w:rFonts w:hint="eastAsia" w:ascii="仿宋" w:hAnsi="仿宋" w:eastAsia="仿宋" w:cs="仿宋"/>
          <w:color w:val="000000"/>
          <w:sz w:val="28"/>
          <w:szCs w:val="28"/>
        </w:rPr>
        <w:t>但在</w:t>
      </w:r>
      <w:r>
        <w:rPr>
          <w:rFonts w:hint="eastAsia" w:ascii="仿宋" w:hAnsi="仿宋" w:eastAsia="仿宋" w:cs="仿宋"/>
          <w:b/>
          <w:bCs/>
          <w:color w:val="000000"/>
          <w:sz w:val="28"/>
          <w:szCs w:val="28"/>
        </w:rPr>
        <w:t>智慧工地功能组成标准、建设技术标准、数据采集技术标准、数据分析方法等</w:t>
      </w:r>
      <w:r>
        <w:rPr>
          <w:rFonts w:hint="eastAsia" w:ascii="仿宋" w:hAnsi="仿宋" w:eastAsia="仿宋" w:cs="仿宋"/>
          <w:b/>
          <w:bCs/>
          <w:color w:val="000000"/>
          <w:sz w:val="28"/>
          <w:szCs w:val="28"/>
          <w:lang w:val="zh-CN"/>
        </w:rPr>
        <w:t>方面</w:t>
      </w:r>
      <w:r>
        <w:rPr>
          <w:rFonts w:hint="eastAsia" w:ascii="仿宋" w:hAnsi="仿宋" w:eastAsia="仿宋" w:cs="仿宋"/>
          <w:b/>
          <w:bCs/>
          <w:color w:val="000000"/>
          <w:sz w:val="28"/>
          <w:szCs w:val="28"/>
        </w:rPr>
        <w:t>还存在着不统一等问题，</w:t>
      </w:r>
      <w:r>
        <w:rPr>
          <w:rFonts w:hint="eastAsia" w:ascii="仿宋" w:hAnsi="仿宋" w:eastAsia="仿宋" w:cs="仿宋"/>
          <w:b/>
          <w:bCs/>
          <w:color w:val="000000"/>
          <w:sz w:val="28"/>
          <w:szCs w:val="28"/>
          <w:lang w:val="zh-CN"/>
        </w:rPr>
        <w:t>难在既有条件基础上形成突破，智慧工地的发展也面临着巨大的瓶颈。</w:t>
      </w:r>
      <w:r>
        <w:rPr>
          <w:rFonts w:hint="eastAsia" w:ascii="仿宋" w:hAnsi="仿宋" w:eastAsia="仿宋" w:cs="仿宋"/>
          <w:color w:val="000000"/>
          <w:sz w:val="28"/>
          <w:szCs w:val="28"/>
        </w:rPr>
        <w:t>制定高速公路智慧工地标准是</w:t>
      </w:r>
      <w:r>
        <w:rPr>
          <w:rFonts w:hint="eastAsia" w:ascii="仿宋" w:hAnsi="仿宋" w:eastAsia="仿宋" w:cs="仿宋"/>
          <w:color w:val="000000"/>
          <w:sz w:val="28"/>
          <w:szCs w:val="28"/>
          <w:lang w:val="zh-CN"/>
        </w:rPr>
        <w:t>引导促进某一技术在领域推广，形成规范性的引导措施，促进领域共同认知形成的过程。当前数字交通发展也处于热潮阶段，在广大同行的努力下智慧工地也呈现了井喷式发展趋势，不论是技术储备还是领域应用规模都具备了形成标准的条件，同时从需求角度来看，智慧工地也急需出台标准来规范引导科学的</w:t>
      </w:r>
      <w:r>
        <w:rPr>
          <w:rFonts w:hint="eastAsia" w:ascii="仿宋" w:hAnsi="仿宋" w:eastAsia="仿宋" w:cs="仿宋"/>
          <w:color w:val="000000"/>
          <w:sz w:val="28"/>
          <w:szCs w:val="28"/>
        </w:rPr>
        <w:t>数字交通</w:t>
      </w:r>
      <w:r>
        <w:rPr>
          <w:rFonts w:hint="eastAsia" w:ascii="仿宋" w:hAnsi="仿宋" w:eastAsia="仿宋" w:cs="仿宋"/>
          <w:color w:val="000000"/>
          <w:sz w:val="28"/>
          <w:szCs w:val="28"/>
          <w:lang w:val="zh-CN"/>
        </w:rPr>
        <w:t>建设，更需要标准化的智慧工地来促进技术的发展与进步，为公路基础设施建设提供高质量发展提供不断革新的技术支撑。</w:t>
      </w:r>
    </w:p>
    <w:p>
      <w:pPr>
        <w:pStyle w:val="4"/>
        <w:rPr>
          <w:rFonts w:ascii="Times New Roman" w:hAnsi="Times New Roman" w:cs="Times New Roman"/>
        </w:rPr>
      </w:pPr>
      <w:bookmarkStart w:id="2" w:name="_Toc11804"/>
      <w:r>
        <w:rPr>
          <w:rFonts w:hint="eastAsia" w:ascii="Times New Roman" w:hAnsi="Times New Roman" w:cs="Times New Roman"/>
        </w:rPr>
        <w:t>1.2 必要性</w:t>
      </w:r>
      <w:bookmarkEnd w:id="2"/>
    </w:p>
    <w:p>
      <w:pPr>
        <w:snapToGrid w:val="0"/>
        <w:spacing w:line="360" w:lineRule="auto"/>
        <w:ind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rPr>
        <w:t>当前阶段，智慧工地对于公路建设工程的高质量发展来说，在领域应用中已形成了普遍共识。尽管智慧工地在公路建设工程中得到了广泛的应用，但是结合当前数字交通与交通强国发展的要求来说，深入分析智慧工地的既有现状，仍存在以下几个方面急需进一步提升：</w:t>
      </w:r>
    </w:p>
    <w:p>
      <w:pPr>
        <w:snapToGrid w:val="0"/>
        <w:spacing w:line="360" w:lineRule="auto"/>
        <w:ind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rPr>
        <w:t>（1）尽管工程特征多样性存在，但是对于基础的智慧工地功能属性仍未能形成统一的认知，导致部分智慧工地流于数字化管理形式，未能真正促动效率的提升，甚至部分成为了参建单位的负担，急需进一步强化智慧工地的本质效益；</w:t>
      </w:r>
    </w:p>
    <w:p>
      <w:pPr>
        <w:snapToGrid w:val="0"/>
        <w:spacing w:line="360" w:lineRule="auto"/>
        <w:ind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rPr>
        <w:t>（2）尽管省内各市智慧工地建设百花齐放，但是真正好的经验与做法并未能得到领域的普遍推广，导致智慧工地整体水平参差不齐，无形中也浪费了大量人力与物力，急需统一智慧工地的建设技术标准，提升领域数字化管理水平；</w:t>
      </w:r>
    </w:p>
    <w:p>
      <w:pPr>
        <w:snapToGrid w:val="0"/>
        <w:spacing w:line="360" w:lineRule="auto"/>
        <w:ind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rPr>
        <w:t>（3）尽管市场机制优势配套形成了大量软硬件方面的产品，但是由于缺乏采集标准、协议标准、数据架构等，产品质量也参差不齐，不少项目上积累了大量无用的垃圾数据，无法指导质量效率的提升，急需规范分析方法引导智慧工地产业链急速规范、提升；</w:t>
      </w:r>
    </w:p>
    <w:p>
      <w:pPr>
        <w:snapToGrid w:val="0"/>
        <w:spacing w:line="360" w:lineRule="auto"/>
        <w:ind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rPr>
        <w:t>（4）尽管智慧工地采集方式多样，数据量丰富，但仍未形成行之有效的数据决策分析方法与路径，导致数据链无法深度服务领域发展，数据价值未能得到真正的体现，急需进一步发挥数据价值，提升数字经济能力。</w:t>
      </w:r>
    </w:p>
    <w:p>
      <w:pPr>
        <w:pStyle w:val="11"/>
        <w:widowControl/>
        <w:shd w:val="clear" w:color="auto" w:fill="FFFFFF"/>
        <w:spacing w:beforeAutospacing="0" w:afterAutospacing="0" w:line="360" w:lineRule="auto"/>
        <w:ind w:firstLine="560" w:firstLineChars="200"/>
        <w:jc w:val="both"/>
        <w:rPr>
          <w:rFonts w:hint="eastAsia" w:ascii="仿宋" w:hAnsi="仿宋" w:eastAsia="仿宋" w:cs="仿宋"/>
          <w:color w:val="000000"/>
          <w:sz w:val="28"/>
          <w:szCs w:val="28"/>
          <w:shd w:val="clear" w:color="auto" w:fill="FFFFFF"/>
        </w:rPr>
      </w:pPr>
      <w:r>
        <w:rPr>
          <w:rFonts w:hint="eastAsia" w:ascii="仿宋" w:hAnsi="仿宋" w:eastAsia="仿宋" w:cs="仿宋"/>
          <w:color w:val="000000"/>
          <w:sz w:val="28"/>
          <w:szCs w:val="28"/>
        </w:rPr>
        <w:t>因此，从公路工程建设管理的需求角度，及数字交通技术在工程建设阶段的应用发展角度，急需出台相关的技术标准来规范引导科学的公路工程智慧工地建设，避免盲目建设、重复投资。</w:t>
      </w:r>
    </w:p>
    <w:p>
      <w:pPr>
        <w:pStyle w:val="4"/>
        <w:rPr>
          <w:rFonts w:ascii="Times New Roman" w:hAnsi="Times New Roman" w:cs="Times New Roman"/>
        </w:rPr>
      </w:pPr>
      <w:bookmarkStart w:id="3" w:name="_Toc6123"/>
      <w:r>
        <w:rPr>
          <w:rFonts w:hint="eastAsia" w:ascii="Times New Roman" w:hAnsi="Times New Roman" w:cs="Times New Roman"/>
        </w:rPr>
        <w:t>1.3 可行性</w:t>
      </w:r>
      <w:bookmarkEnd w:id="3"/>
    </w:p>
    <w:p>
      <w:pPr>
        <w:spacing w:line="360" w:lineRule="auto"/>
        <w:ind w:firstLine="562" w:firstLineChars="200"/>
        <w:rPr>
          <w:rFonts w:hint="eastAsia" w:ascii="仿宋" w:hAnsi="仿宋" w:eastAsia="仿宋" w:cs="仿宋"/>
          <w:b/>
          <w:bCs/>
          <w:sz w:val="28"/>
          <w:szCs w:val="28"/>
        </w:rPr>
      </w:pPr>
      <w:r>
        <w:rPr>
          <w:rFonts w:hint="eastAsia" w:ascii="仿宋" w:hAnsi="仿宋" w:eastAsia="仿宋" w:cs="仿宋"/>
          <w:b/>
          <w:bCs/>
          <w:sz w:val="28"/>
          <w:szCs w:val="28"/>
        </w:rPr>
        <w:t>（1）智慧工地建设管理实践经验</w:t>
      </w:r>
    </w:p>
    <w:p>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牵头单位江苏省交通工程建设局为更好监督管理高速公路建设质量、安全与环境保护等，从全省高速公路建设管理数据监督角度出发，自2016年开始逐步构建了五大数据中心，即试验检测数据中心、沥青质量数据中心、桥梁质量数据中心、安全管理数据中心和绿色管理数据中心，五大数据中心全面在开工建设高速公路、跨江大桥、过江隧道中推广应用，采用物联网技术实时采集高速公路建设质量、安全、环保等关键数据，实现了全项目、全专业、全指标的全方位覆盖，并形成了相应的技术标准、指南。</w:t>
      </w:r>
    </w:p>
    <w:p>
      <w:pPr>
        <w:spacing w:line="360" w:lineRule="auto"/>
        <w:ind w:firstLine="562" w:firstLineChars="200"/>
        <w:rPr>
          <w:rFonts w:hint="eastAsia" w:ascii="仿宋" w:hAnsi="仿宋" w:eastAsia="仿宋" w:cs="仿宋"/>
          <w:b/>
          <w:bCs/>
          <w:sz w:val="28"/>
          <w:szCs w:val="28"/>
        </w:rPr>
      </w:pPr>
      <w:r>
        <w:rPr>
          <w:rFonts w:hint="eastAsia" w:ascii="仿宋" w:hAnsi="仿宋" w:eastAsia="仿宋" w:cs="仿宋"/>
          <w:b/>
          <w:bCs/>
          <w:sz w:val="28"/>
          <w:szCs w:val="28"/>
        </w:rPr>
        <w:t>（2）智慧工地平台装备开发经验</w:t>
      </w:r>
    </w:p>
    <w:p>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参与单位江苏中路信息科技有限公司主要从事智慧工地平台开发工作，在项目管理、现场工程管理的数字化方面拥有丰富经验，智慧工地平台建设开发业务覆盖江苏省多个市域，熟悉了解相关地区的典型特征，具备本指南共性和特性分析总结条件，同时也具有智慧工地采集硬件的研发与生产经验。参与单位华设设计集团有限公司在重大工程BIM协同方面具有丰富的业绩经验，承担了江苏省大量过江通道重点工程的BIM协同平台建设工作，同时在外省重点工程中也广泛参与其中；参与单位南京飞搏智能交通技术有限公司聚焦安全管理数字化，全面参与江苏省公路安全信息化管理工作，相关技术与平台得到交通运输质安司的高度认可，专业化的安全管理平台已推广至全国十余个省份。</w:t>
      </w:r>
    </w:p>
    <w:p>
      <w:pPr>
        <w:spacing w:line="360" w:lineRule="auto"/>
        <w:ind w:firstLine="562" w:firstLineChars="200"/>
        <w:rPr>
          <w:rFonts w:hint="eastAsia" w:ascii="仿宋" w:hAnsi="仿宋" w:eastAsia="仿宋" w:cs="仿宋"/>
          <w:b/>
          <w:bCs/>
          <w:sz w:val="28"/>
          <w:szCs w:val="28"/>
        </w:rPr>
      </w:pPr>
      <w:r>
        <w:rPr>
          <w:rFonts w:hint="eastAsia" w:ascii="仿宋" w:hAnsi="仿宋" w:eastAsia="仿宋" w:cs="仿宋"/>
          <w:b/>
          <w:bCs/>
          <w:sz w:val="28"/>
          <w:szCs w:val="28"/>
        </w:rPr>
        <w:t>（3）智慧工地平台系统应用经验</w:t>
      </w:r>
    </w:p>
    <w:p>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参与单位长期以来从事国内外典型的重大工程建设，在智慧工地应用、智慧监测、智能建造等方面拥有丰富的现场管理经验，也有大量平台应用的实践案例，与此同时其参与的在建项目也可为本项目的调研和应用提供工程依托。</w:t>
      </w:r>
    </w:p>
    <w:p>
      <w:pPr>
        <w:spacing w:line="360" w:lineRule="auto"/>
        <w:ind w:firstLine="562" w:firstLineChars="200"/>
        <w:rPr>
          <w:rFonts w:hint="eastAsia" w:ascii="仿宋" w:hAnsi="仿宋" w:eastAsia="仿宋" w:cs="仿宋"/>
          <w:b/>
          <w:bCs/>
          <w:sz w:val="28"/>
          <w:szCs w:val="28"/>
        </w:rPr>
      </w:pPr>
      <w:r>
        <w:rPr>
          <w:rFonts w:hint="eastAsia" w:ascii="仿宋" w:hAnsi="仿宋" w:eastAsia="仿宋" w:cs="仿宋"/>
          <w:b/>
          <w:bCs/>
          <w:sz w:val="28"/>
          <w:szCs w:val="28"/>
        </w:rPr>
        <w:t>（4）智慧工地相关标准经验</w:t>
      </w:r>
    </w:p>
    <w:p>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承担单位在智慧工地相关标准和指南方面前期也储备了大量积累，江苏省交通工程建设局在路面监控、安全管理、BIM等方面建立了企业标准体系，相关成熟的技术列入了团标和地方标准，参与单位江苏中路信息科技有限公司、华设设计集团有限公司、南京飞搏智能交通技术有限公司在江苏、黑龙江、江西等省市参与了部分智慧工地地方标准研究编制工作。</w:t>
      </w:r>
    </w:p>
    <w:p>
      <w:pPr>
        <w:spacing w:line="360" w:lineRule="auto"/>
        <w:ind w:firstLine="562" w:firstLineChars="200"/>
        <w:rPr>
          <w:rFonts w:hint="eastAsia" w:ascii="仿宋" w:hAnsi="仿宋" w:eastAsia="仿宋" w:cs="仿宋"/>
          <w:b/>
          <w:bCs/>
          <w:sz w:val="28"/>
          <w:szCs w:val="28"/>
        </w:rPr>
      </w:pPr>
      <w:r>
        <w:rPr>
          <w:rFonts w:hint="eastAsia" w:ascii="仿宋" w:hAnsi="仿宋" w:eastAsia="仿宋" w:cs="仿宋"/>
          <w:b/>
          <w:bCs/>
          <w:sz w:val="28"/>
          <w:szCs w:val="28"/>
        </w:rPr>
        <w:t>（5）智慧工地验证测试平台条件</w:t>
      </w:r>
    </w:p>
    <w:p>
      <w:pPr>
        <w:pStyle w:val="11"/>
        <w:widowControl/>
        <w:shd w:val="clear" w:color="auto" w:fill="FFFFFF"/>
        <w:spacing w:beforeAutospacing="0" w:afterAutospacing="0" w:line="360" w:lineRule="auto"/>
        <w:ind w:firstLine="560" w:firstLineChars="200"/>
        <w:jc w:val="both"/>
        <w:rPr>
          <w:rFonts w:hint="eastAsia" w:ascii="仿宋" w:hAnsi="仿宋" w:eastAsia="仿宋" w:cs="仿宋"/>
          <w:sz w:val="28"/>
          <w:szCs w:val="28"/>
        </w:rPr>
      </w:pPr>
      <w:r>
        <w:rPr>
          <w:rFonts w:hint="eastAsia" w:ascii="仿宋" w:hAnsi="仿宋" w:eastAsia="仿宋" w:cs="仿宋"/>
          <w:sz w:val="28"/>
          <w:szCs w:val="28"/>
        </w:rPr>
        <w:t>江苏省十四五期高速公路建设任务繁重，其中有一大批世界级的过江通道（大桥+隧道）建设项目，为更好提升建设管理效能，提升工程品质，充分发挥主编单位建设管理职能优势，依托常泰长江大桥和张靖皋长江大桥打造大跨径桥梁的智能建造智慧工地，依托海太长江隧道和江阴靖江长江隧道打造超长盾构隧道智慧工地，包括结构物的智能监测、工业化建造等，实现了大部分结构稳定性参数的实时监测与智能控制，相关智能建造经验通过BIM协同平台载体进行了积累与发展，为本项目成果的应用验证提供了坚实的平台基础</w:t>
      </w:r>
      <w:r>
        <w:rPr>
          <w:rFonts w:hint="eastAsia" w:ascii="仿宋" w:hAnsi="仿宋" w:eastAsia="仿宋" w:cs="仿宋"/>
          <w:color w:val="000000"/>
          <w:sz w:val="28"/>
          <w:szCs w:val="28"/>
        </w:rPr>
        <w:t>。</w:t>
      </w:r>
    </w:p>
    <w:p>
      <w:pPr>
        <w:pStyle w:val="4"/>
        <w:rPr>
          <w:rFonts w:ascii="Times New Roman" w:hAnsi="Times New Roman" w:cs="Times New Roman"/>
        </w:rPr>
      </w:pPr>
      <w:bookmarkStart w:id="4" w:name="_Toc17336"/>
      <w:r>
        <w:rPr>
          <w:rFonts w:hint="eastAsia" w:ascii="Times New Roman" w:hAnsi="Times New Roman" w:cs="Times New Roman"/>
        </w:rPr>
        <w:t>1.4 预期经济社会效益分析</w:t>
      </w:r>
      <w:bookmarkEnd w:id="4"/>
    </w:p>
    <w:p>
      <w:pPr>
        <w:adjustRightInd w:val="0"/>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公路工程作为交通运输基础设施的重要促成部分，其建设管理模式经历了粗放化到精细化再到品质化的发展历程，智慧工地作为新时期公路工程管理的重要手段，对于提升质量品质、安全耐久和便民服务属性起到了重要的推动作用。当前阶段，从公路建设工程的现状来说，智慧工地建设已形成了普遍共识，也成为重点工程建设管理的“标配”，为进一步规范并指导公路工程智慧工地的建设，急需启动智慧工地领域顶层的标准编制工作，其效益主要体现在以下三个方面：</w:t>
      </w:r>
    </w:p>
    <w:p>
      <w:pPr>
        <w:adjustRightInd w:val="0"/>
        <w:snapToGrid w:val="0"/>
        <w:spacing w:line="360" w:lineRule="auto"/>
        <w:ind w:firstLine="562" w:firstLineChars="200"/>
        <w:rPr>
          <w:rFonts w:hint="eastAsia" w:ascii="仿宋" w:hAnsi="仿宋" w:eastAsia="仿宋" w:cs="仿宋"/>
          <w:sz w:val="28"/>
          <w:szCs w:val="28"/>
        </w:rPr>
      </w:pPr>
      <w:r>
        <w:rPr>
          <w:rFonts w:hint="eastAsia" w:ascii="仿宋" w:hAnsi="仿宋" w:eastAsia="仿宋" w:cs="仿宋"/>
          <w:b/>
          <w:bCs/>
          <w:sz w:val="28"/>
          <w:szCs w:val="28"/>
        </w:rPr>
        <w:t>（1）提升公路质量安全水平的需要</w:t>
      </w:r>
      <w:r>
        <w:rPr>
          <w:rFonts w:hint="eastAsia" w:ascii="仿宋" w:hAnsi="仿宋" w:eastAsia="仿宋" w:cs="仿宋"/>
          <w:sz w:val="28"/>
          <w:szCs w:val="28"/>
        </w:rPr>
        <w:t>。质量与安全是公路工程建设管理的核心价值体现，从早期公路工程“五化”——“发展理念人本化、项目管理专业化、工程施工标准化、管理手段信息化、日常管理精细化”现代工程管理理念，到十三五期“平安百年品质工程”管理体系，公路工程建设管理始终聚焦质量和安全的核心。智慧工地是多年质量安全管理经验的高度数字化总结，更是多年经验数字化的传承，开展智慧工地领域技术指南的编制工作是进一步深化提升公路质量与安全管理水平的需求。</w:t>
      </w:r>
    </w:p>
    <w:p>
      <w:pPr>
        <w:adjustRightInd w:val="0"/>
        <w:snapToGrid w:val="0"/>
        <w:spacing w:line="360" w:lineRule="auto"/>
        <w:ind w:firstLine="562" w:firstLineChars="200"/>
        <w:rPr>
          <w:rFonts w:hint="eastAsia" w:ascii="仿宋" w:hAnsi="仿宋" w:eastAsia="仿宋" w:cs="仿宋"/>
          <w:sz w:val="28"/>
          <w:szCs w:val="28"/>
        </w:rPr>
      </w:pPr>
      <w:r>
        <w:rPr>
          <w:rFonts w:hint="eastAsia" w:ascii="仿宋" w:hAnsi="仿宋" w:eastAsia="仿宋" w:cs="仿宋"/>
          <w:b/>
          <w:bCs/>
          <w:sz w:val="28"/>
          <w:szCs w:val="28"/>
        </w:rPr>
        <w:t>（2）引领工程建设领域技术发展进步的需要</w:t>
      </w:r>
      <w:r>
        <w:rPr>
          <w:rFonts w:hint="eastAsia" w:ascii="仿宋" w:hAnsi="仿宋" w:eastAsia="仿宋" w:cs="仿宋"/>
          <w:sz w:val="28"/>
          <w:szCs w:val="28"/>
        </w:rPr>
        <w:t>。国家、行业相关政策文件强调基础设施数字化转型发展，倡导利用物联网、互联网、人工智能等新一代数字技术提升公路建设管理水平，提升工程管理效能。数字化、信息化、智能化是公路工程现代化建设的重要手段，而智慧工地是实现公路工程建设管理数字化转型发展的重要路径和载体，开展智慧工地标准的编制工作是发挥规范标准引领数字化技术进步的迫切需求。</w:t>
      </w:r>
    </w:p>
    <w:p>
      <w:pPr>
        <w:adjustRightInd w:val="0"/>
        <w:snapToGrid w:val="0"/>
        <w:spacing w:line="360" w:lineRule="auto"/>
        <w:ind w:firstLine="562" w:firstLineChars="200"/>
        <w:rPr>
          <w:rFonts w:hint="eastAsia" w:ascii="仿宋" w:hAnsi="仿宋" w:eastAsia="仿宋" w:cs="仿宋"/>
          <w:sz w:val="28"/>
          <w:szCs w:val="28"/>
        </w:rPr>
      </w:pPr>
      <w:r>
        <w:rPr>
          <w:rFonts w:hint="eastAsia" w:ascii="仿宋" w:hAnsi="仿宋" w:eastAsia="仿宋" w:cs="仿宋"/>
          <w:b/>
          <w:bCs/>
          <w:sz w:val="28"/>
          <w:szCs w:val="28"/>
        </w:rPr>
        <w:t>（3）支撑示范工程打造的需要</w:t>
      </w:r>
      <w:r>
        <w:rPr>
          <w:rFonts w:hint="eastAsia" w:ascii="仿宋" w:hAnsi="仿宋" w:eastAsia="仿宋" w:cs="仿宋"/>
          <w:sz w:val="28"/>
          <w:szCs w:val="28"/>
        </w:rPr>
        <w:t>。习总书记指出我国已建成交通大国，正在向交通强国迈进，全面系统实现交通运输的现代化。公路工程作为交通运输发展的重要载体，是交通强国建设的重要领域，需要通过典型示范工程来引导促进领域形成共同建设交通强国基础设施的认知。智慧工地是现代工程管理和平安百年品质工程理念深化的重要载体，开展智慧工地建设技术指南编制工作，对于支撑领域打造样板工程、精品工程、平安工程、廉洁工程具有重要的现实意义。</w:t>
      </w:r>
    </w:p>
    <w:p>
      <w:pPr>
        <w:adjustRightInd w:val="0"/>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当前阶段，智慧工地已经发展到了新的高度，标准体系建设是引导促进某一技术领域推广，形成规范性的引导措施，促进领域共同认知形成的过程。但是标准也需要具备一定的应用规模条件。就智慧工地而言，当前数字交通发展正处于热潮阶段，在广大同行的努力下智慧工地也呈现了井喷式发展趋势，不论是技术储备还是应用规模都具备了形成标准的条件。同时从需求角度来看，智慧工地也急需出台标准来规范引导科学的智慧公路建设，更需要标准化的智慧工地来促进技术的发展与进步，为公路基础设施建设高质量发展提供不断革新的技术支撑。</w:t>
      </w:r>
    </w:p>
    <w:p>
      <w:pPr>
        <w:rPr>
          <w:rFonts w:hint="eastAsia" w:ascii="仿宋" w:hAnsi="仿宋" w:eastAsia="仿宋" w:cs="仿宋"/>
          <w:sz w:val="28"/>
          <w:szCs w:val="28"/>
        </w:rPr>
      </w:pPr>
      <w:r>
        <w:rPr>
          <w:rFonts w:hint="eastAsia" w:ascii="仿宋" w:hAnsi="仿宋" w:eastAsia="仿宋" w:cs="仿宋"/>
          <w:sz w:val="28"/>
          <w:szCs w:val="28"/>
        </w:rPr>
        <w:br w:type="page"/>
      </w:r>
    </w:p>
    <w:p>
      <w:pPr>
        <w:pStyle w:val="3"/>
        <w:spacing w:before="100" w:after="100"/>
        <w:rPr>
          <w:rFonts w:ascii="黑体" w:hAnsi="黑体" w:eastAsia="黑体" w:cs="黑体"/>
          <w:sz w:val="36"/>
          <w:szCs w:val="36"/>
        </w:rPr>
      </w:pPr>
      <w:bookmarkStart w:id="5" w:name="_Toc25110"/>
      <w:r>
        <w:rPr>
          <w:rFonts w:hint="eastAsia" w:ascii="黑体" w:hAnsi="黑体" w:eastAsia="黑体" w:cs="黑体"/>
          <w:sz w:val="36"/>
          <w:szCs w:val="36"/>
        </w:rPr>
        <w:t>二、任务来源</w:t>
      </w:r>
      <w:bookmarkEnd w:id="5"/>
    </w:p>
    <w:p>
      <w:pPr>
        <w:adjustRightInd w:val="0"/>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2023年8月，依据江苏省市场监督管理局关于《省市场监管局关于下达 2023 年度江苏省地方标准项目计划的通知》（苏市监标〔2023〕173号），本标准是2023 年度江苏省地方标准项目计划的第</w:t>
      </w:r>
      <w:r>
        <w:rPr>
          <w:rFonts w:hint="eastAsia" w:ascii="仿宋" w:hAnsi="仿宋" w:eastAsia="仿宋" w:cs="仿宋"/>
          <w:sz w:val="28"/>
          <w:szCs w:val="28"/>
          <w:lang w:val="en-US" w:eastAsia="zh-CN"/>
        </w:rPr>
        <w:t>87</w:t>
      </w:r>
      <w:r>
        <w:rPr>
          <w:rFonts w:hint="eastAsia" w:ascii="仿宋" w:hAnsi="仿宋" w:eastAsia="仿宋" w:cs="仿宋"/>
          <w:sz w:val="28"/>
          <w:szCs w:val="28"/>
        </w:rPr>
        <w:t>号，标准名称为《</w:t>
      </w:r>
      <w:r>
        <w:rPr>
          <w:rFonts w:hint="eastAsia" w:ascii="仿宋" w:hAnsi="仿宋" w:eastAsia="仿宋" w:cs="仿宋"/>
          <w:sz w:val="28"/>
          <w:szCs w:val="28"/>
          <w:highlight w:val="none"/>
        </w:rPr>
        <w:t>高速公路工程</w:t>
      </w:r>
      <w:r>
        <w:rPr>
          <w:rFonts w:hint="eastAsia" w:ascii="仿宋" w:hAnsi="仿宋" w:eastAsia="仿宋" w:cs="仿宋"/>
          <w:sz w:val="28"/>
          <w:szCs w:val="28"/>
          <w:highlight w:val="none"/>
          <w:lang w:val="en-US" w:eastAsia="zh-CN"/>
        </w:rPr>
        <w:t xml:space="preserve"> </w:t>
      </w:r>
      <w:r>
        <w:rPr>
          <w:rFonts w:hint="eastAsia" w:ascii="仿宋" w:hAnsi="仿宋" w:eastAsia="仿宋" w:cs="仿宋"/>
          <w:sz w:val="28"/>
          <w:szCs w:val="28"/>
          <w:highlight w:val="none"/>
        </w:rPr>
        <w:t>智慧工地建设技术指南</w:t>
      </w:r>
      <w:r>
        <w:rPr>
          <w:rFonts w:hint="eastAsia" w:ascii="仿宋" w:hAnsi="仿宋" w:eastAsia="仿宋" w:cs="仿宋"/>
          <w:sz w:val="28"/>
          <w:szCs w:val="28"/>
        </w:rPr>
        <w:t>》，起草单位为江苏省交通工程建设局、江苏中路工程技术研究院有限公司，对口行政主管部门江苏省交通运输厅。</w:t>
      </w:r>
    </w:p>
    <w:p>
      <w:pPr>
        <w:adjustRightInd w:val="0"/>
        <w:snapToGrid w:val="0"/>
        <w:spacing w:line="360" w:lineRule="auto"/>
        <w:ind w:left="0" w:leftChars="0" w:firstLine="0" w:firstLineChars="0"/>
        <w:jc w:val="center"/>
        <w:rPr>
          <w:rFonts w:hint="eastAsia" w:ascii="Times New Roman" w:hAnsi="Times New Roman" w:eastAsia="宋体" w:cs="Times New Roman"/>
          <w:sz w:val="24"/>
        </w:rPr>
      </w:pPr>
      <w:r>
        <w:drawing>
          <wp:inline distT="0" distB="0" distL="114300" distR="114300">
            <wp:extent cx="2245995" cy="3136265"/>
            <wp:effectExtent l="9525" t="9525" r="11430" b="165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2245995" cy="3136265"/>
                    </a:xfrm>
                    <a:prstGeom prst="rect">
                      <a:avLst/>
                    </a:prstGeom>
                    <a:noFill/>
                    <a:ln>
                      <a:solidFill>
                        <a:schemeClr val="tx1"/>
                      </a:solidFill>
                    </a:ln>
                  </pic:spPr>
                </pic:pic>
              </a:graphicData>
            </a:graphic>
          </wp:inline>
        </w:drawing>
      </w:r>
      <w:r>
        <w:drawing>
          <wp:inline distT="0" distB="0" distL="114300" distR="114300">
            <wp:extent cx="2237105" cy="3134995"/>
            <wp:effectExtent l="9525" t="9525" r="20320" b="17780"/>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6"/>
                    <a:stretch>
                      <a:fillRect/>
                    </a:stretch>
                  </pic:blipFill>
                  <pic:spPr>
                    <a:xfrm>
                      <a:off x="0" y="0"/>
                      <a:ext cx="2237105" cy="3134995"/>
                    </a:xfrm>
                    <a:prstGeom prst="rect">
                      <a:avLst/>
                    </a:prstGeom>
                    <a:noFill/>
                    <a:ln>
                      <a:solidFill>
                        <a:schemeClr val="tx1"/>
                      </a:solidFill>
                    </a:ln>
                  </pic:spPr>
                </pic:pic>
              </a:graphicData>
            </a:graphic>
          </wp:inline>
        </w:drawing>
      </w:r>
    </w:p>
    <w:p>
      <w:pPr>
        <w:pStyle w:val="2"/>
        <w:jc w:val="center"/>
        <w:rPr>
          <w:rFonts w:hint="eastAsia" w:ascii="Times New Roman" w:hAnsi="Times New Roman" w:eastAsia="宋体" w:cs="Times New Roman"/>
          <w:sz w:val="24"/>
        </w:rPr>
      </w:pPr>
      <w:r>
        <w:rPr>
          <w:rFonts w:hint="eastAsia" w:ascii="黑体" w:hAnsi="黑体" w:eastAsia="黑体" w:cs="黑体"/>
          <w:sz w:val="24"/>
          <w:lang w:val="en-US" w:eastAsia="zh-CN"/>
        </w:rPr>
        <w:t>图1 标准立项通知</w:t>
      </w:r>
    </w:p>
    <w:p>
      <w:pPr>
        <w:pStyle w:val="3"/>
        <w:spacing w:before="100" w:after="100"/>
        <w:rPr>
          <w:rFonts w:ascii="黑体" w:hAnsi="黑体" w:eastAsia="黑体" w:cs="黑体"/>
          <w:sz w:val="36"/>
          <w:szCs w:val="36"/>
        </w:rPr>
      </w:pPr>
      <w:bookmarkStart w:id="6" w:name="_Toc18778"/>
      <w:r>
        <w:rPr>
          <w:rFonts w:hint="eastAsia" w:ascii="黑体" w:hAnsi="黑体" w:eastAsia="黑体" w:cs="黑体"/>
          <w:sz w:val="36"/>
          <w:szCs w:val="36"/>
        </w:rPr>
        <w:t>三、编制过程</w:t>
      </w:r>
      <w:bookmarkEnd w:id="6"/>
    </w:p>
    <w:p>
      <w:pPr>
        <w:spacing w:line="360" w:lineRule="auto"/>
        <w:ind w:firstLine="560" w:firstLineChars="200"/>
        <w:rPr>
          <w:rFonts w:eastAsia="仿宋"/>
          <w:sz w:val="28"/>
          <w:szCs w:val="28"/>
        </w:rPr>
      </w:pPr>
      <w:r>
        <w:rPr>
          <w:rFonts w:eastAsia="仿宋"/>
          <w:sz w:val="28"/>
          <w:szCs w:val="28"/>
        </w:rPr>
        <w:t>本标准的制定工作过程简述如下：</w:t>
      </w:r>
    </w:p>
    <w:p>
      <w:pPr>
        <w:adjustRightInd w:val="0"/>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2023年8月</w:t>
      </w:r>
      <w:r>
        <w:rPr>
          <w:rFonts w:hint="eastAsia" w:ascii="仿宋" w:hAnsi="仿宋" w:eastAsia="仿宋" w:cs="仿宋"/>
          <w:sz w:val="28"/>
          <w:szCs w:val="28"/>
          <w:lang w:eastAsia="zh-CN"/>
        </w:rPr>
        <w:t>～</w:t>
      </w:r>
      <w:r>
        <w:rPr>
          <w:rFonts w:hint="eastAsia" w:ascii="仿宋" w:hAnsi="仿宋" w:eastAsia="仿宋" w:cs="仿宋"/>
          <w:sz w:val="28"/>
          <w:szCs w:val="28"/>
        </w:rPr>
        <w:t>2023年10月——资料收集。编制工作组依托省内</w:t>
      </w:r>
      <w:r>
        <w:rPr>
          <w:rFonts w:hint="eastAsia" w:ascii="仿宋" w:hAnsi="仿宋" w:eastAsia="仿宋" w:cs="仿宋"/>
          <w:sz w:val="28"/>
          <w:szCs w:val="28"/>
        </w:rPr>
        <w:t>重点高速公路、过江通道工程建设工程对智慧工地建设情况开展了实</w:t>
      </w:r>
      <w:r>
        <w:rPr>
          <w:rFonts w:hint="eastAsia" w:ascii="仿宋" w:hAnsi="仿宋" w:eastAsia="仿宋" w:cs="仿宋"/>
          <w:sz w:val="28"/>
          <w:szCs w:val="28"/>
        </w:rPr>
        <w:t>地调研，包括张靖皋长江大桥、海太长江隧道、沪武高速等重点项目，对典型项目智慧工地实际应用亮点内容进行实地调研及座谈，总结通用性内容。</w:t>
      </w:r>
    </w:p>
    <w:p>
      <w:pPr>
        <w:adjustRightInd w:val="0"/>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2023年10月</w:t>
      </w:r>
      <w:r>
        <w:rPr>
          <w:rFonts w:hint="eastAsia" w:ascii="仿宋" w:hAnsi="仿宋" w:eastAsia="仿宋" w:cs="仿宋"/>
          <w:sz w:val="28"/>
          <w:szCs w:val="28"/>
          <w:lang w:eastAsia="zh-CN"/>
        </w:rPr>
        <w:t>～</w:t>
      </w:r>
      <w:r>
        <w:rPr>
          <w:rFonts w:hint="eastAsia" w:ascii="仿宋" w:hAnsi="仿宋" w:eastAsia="仿宋" w:cs="仿宋"/>
          <w:sz w:val="28"/>
          <w:szCs w:val="28"/>
        </w:rPr>
        <w:t>2023年11月——</w:t>
      </w:r>
      <w:r>
        <w:rPr>
          <w:rFonts w:hint="eastAsia" w:ascii="仿宋" w:hAnsi="仿宋" w:eastAsia="仿宋" w:cs="仿宋"/>
          <w:sz w:val="28"/>
          <w:szCs w:val="28"/>
          <w:lang w:val="en-US" w:eastAsia="zh-CN"/>
        </w:rPr>
        <w:t>标准草案</w:t>
      </w:r>
      <w:r>
        <w:rPr>
          <w:rFonts w:hint="eastAsia" w:ascii="仿宋" w:hAnsi="仿宋" w:eastAsia="仿宋" w:cs="仿宋"/>
          <w:sz w:val="28"/>
          <w:szCs w:val="28"/>
        </w:rPr>
        <w:t>编制。制定标准编制的工作方案，充分讨论标准编制框架及各类热点问题，并修改完善方案，明确标准的性质归属、结构框架、使用对象等。</w:t>
      </w:r>
    </w:p>
    <w:p>
      <w:pPr>
        <w:adjustRightInd w:val="0"/>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2023年12月——标准大纲编制：制定标准编制的工作方案，充分讨论标准编制框架及各类问题，并修改完善方案，明确标准的性质归属、结构框架、使用对象等；</w:t>
      </w:r>
    </w:p>
    <w:p>
      <w:pPr>
        <w:adjustRightInd w:val="0"/>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2024年1月</w:t>
      </w:r>
      <w:r>
        <w:rPr>
          <w:rFonts w:hint="eastAsia" w:ascii="仿宋" w:hAnsi="仿宋" w:eastAsia="仿宋" w:cs="仿宋"/>
          <w:sz w:val="28"/>
          <w:szCs w:val="28"/>
          <w:lang w:eastAsia="zh-CN"/>
        </w:rPr>
        <w:t>～</w:t>
      </w:r>
      <w:r>
        <w:rPr>
          <w:rFonts w:hint="eastAsia" w:ascii="仿宋" w:hAnsi="仿宋" w:eastAsia="仿宋" w:cs="仿宋"/>
          <w:sz w:val="28"/>
          <w:szCs w:val="28"/>
        </w:rPr>
        <w:t>202</w:t>
      </w:r>
      <w:r>
        <w:rPr>
          <w:rFonts w:hint="eastAsia" w:ascii="仿宋" w:hAnsi="仿宋" w:eastAsia="仿宋" w:cs="仿宋"/>
          <w:sz w:val="28"/>
          <w:szCs w:val="28"/>
          <w:lang w:val="en-US" w:eastAsia="zh-CN"/>
        </w:rPr>
        <w:t>4</w:t>
      </w:r>
      <w:r>
        <w:rPr>
          <w:rFonts w:hint="eastAsia" w:ascii="仿宋" w:hAnsi="仿宋" w:eastAsia="仿宋" w:cs="仿宋"/>
          <w:sz w:val="28"/>
          <w:szCs w:val="28"/>
        </w:rPr>
        <w:t>年</w:t>
      </w:r>
      <w:r>
        <w:rPr>
          <w:rFonts w:hint="eastAsia" w:ascii="仿宋" w:hAnsi="仿宋" w:eastAsia="仿宋" w:cs="仿宋"/>
          <w:sz w:val="28"/>
          <w:szCs w:val="28"/>
          <w:lang w:val="en-US" w:eastAsia="zh-CN"/>
        </w:rPr>
        <w:t>2</w:t>
      </w:r>
      <w:r>
        <w:rPr>
          <w:rFonts w:hint="eastAsia" w:ascii="仿宋" w:hAnsi="仿宋" w:eastAsia="仿宋" w:cs="仿宋"/>
          <w:sz w:val="28"/>
          <w:szCs w:val="28"/>
        </w:rPr>
        <w:t>月——标准一稿编制：编制组内部组织标准草案讨论，根据讨论意见修改完善标准草案，形成标准一稿；</w:t>
      </w:r>
    </w:p>
    <w:p>
      <w:pPr>
        <w:adjustRightInd w:val="0"/>
        <w:snapToGrid w:val="0"/>
        <w:spacing w:line="360" w:lineRule="auto"/>
        <w:ind w:firstLine="560" w:firstLineChars="200"/>
        <w:rPr>
          <w:rFonts w:ascii="Times New Roman" w:hAnsi="Times New Roman" w:eastAsia="宋体" w:cs="Times New Roman"/>
          <w:sz w:val="24"/>
        </w:rPr>
      </w:pPr>
      <w:r>
        <w:rPr>
          <w:rFonts w:hint="eastAsia" w:ascii="仿宋" w:hAnsi="仿宋" w:eastAsia="仿宋" w:cs="仿宋"/>
          <w:sz w:val="28"/>
          <w:szCs w:val="28"/>
        </w:rPr>
        <w:t>2024年</w:t>
      </w:r>
      <w:r>
        <w:rPr>
          <w:rFonts w:hint="eastAsia" w:ascii="仿宋" w:hAnsi="仿宋" w:eastAsia="仿宋" w:cs="仿宋"/>
          <w:sz w:val="28"/>
          <w:szCs w:val="28"/>
          <w:lang w:val="en-US" w:eastAsia="zh-CN"/>
        </w:rPr>
        <w:t>3月——</w:t>
      </w:r>
      <w:r>
        <w:rPr>
          <w:rFonts w:hint="eastAsia" w:ascii="仿宋" w:hAnsi="仿宋" w:eastAsia="仿宋" w:cs="仿宋"/>
          <w:sz w:val="28"/>
          <w:szCs w:val="28"/>
          <w:lang w:val="en-US" w:eastAsia="zh-CN"/>
        </w:rPr>
        <w:t>调研完善：</w:t>
      </w:r>
      <w:r>
        <w:rPr>
          <w:rFonts w:hint="eastAsia" w:ascii="仿宋" w:hAnsi="仿宋" w:eastAsia="仿宋" w:cs="仿宋"/>
          <w:sz w:val="28"/>
          <w:szCs w:val="28"/>
          <w:lang w:val="en-US" w:eastAsia="zh-CN"/>
        </w:rPr>
        <w:t>进一步调研省内典型高速公路智慧工地的应用情况，在验证调查和进一步汇总分析收集到的资料的基础上，经过内部充分讨论，形成标准二稿。</w:t>
      </w:r>
    </w:p>
    <w:p>
      <w:pPr>
        <w:adjustRightInd w:val="0"/>
        <w:snapToGrid w:val="0"/>
        <w:spacing w:line="360" w:lineRule="auto"/>
        <w:ind w:firstLine="560" w:firstLineChars="200"/>
        <w:rPr>
          <w:rFonts w:hint="eastAsia" w:ascii="Times New Roman" w:hAnsi="Times New Roman" w:eastAsia="宋体" w:cs="Times New Roman"/>
          <w:sz w:val="24"/>
        </w:rPr>
      </w:pPr>
      <w:r>
        <w:rPr>
          <w:rFonts w:hint="eastAsia" w:ascii="仿宋" w:hAnsi="仿宋" w:eastAsia="仿宋" w:cs="仿宋"/>
          <w:sz w:val="28"/>
          <w:szCs w:val="28"/>
        </w:rPr>
        <w:t>2024年</w:t>
      </w:r>
      <w:r>
        <w:rPr>
          <w:rFonts w:hint="eastAsia" w:ascii="仿宋" w:hAnsi="仿宋" w:eastAsia="仿宋" w:cs="仿宋"/>
          <w:sz w:val="28"/>
          <w:szCs w:val="28"/>
          <w:lang w:val="en-US" w:eastAsia="zh-CN"/>
        </w:rPr>
        <w:t>4月</w:t>
      </w:r>
      <w:r>
        <w:rPr>
          <w:rFonts w:hint="eastAsia" w:ascii="仿宋" w:hAnsi="仿宋" w:eastAsia="仿宋" w:cs="仿宋"/>
          <w:sz w:val="28"/>
          <w:szCs w:val="28"/>
          <w:lang w:eastAsia="zh-CN"/>
        </w:rPr>
        <w:t>～</w:t>
      </w:r>
      <w:r>
        <w:rPr>
          <w:rFonts w:hint="eastAsia" w:ascii="仿宋" w:hAnsi="仿宋" w:eastAsia="仿宋" w:cs="仿宋"/>
          <w:sz w:val="28"/>
          <w:szCs w:val="28"/>
        </w:rPr>
        <w:t>202</w:t>
      </w:r>
      <w:r>
        <w:rPr>
          <w:rFonts w:hint="eastAsia" w:ascii="仿宋" w:hAnsi="仿宋" w:eastAsia="仿宋" w:cs="仿宋"/>
          <w:sz w:val="28"/>
          <w:szCs w:val="28"/>
          <w:lang w:val="en-US" w:eastAsia="zh-CN"/>
        </w:rPr>
        <w:t>4</w:t>
      </w:r>
      <w:r>
        <w:rPr>
          <w:rFonts w:hint="eastAsia" w:ascii="仿宋" w:hAnsi="仿宋" w:eastAsia="仿宋" w:cs="仿宋"/>
          <w:sz w:val="28"/>
          <w:szCs w:val="28"/>
        </w:rPr>
        <w:t>年</w:t>
      </w:r>
      <w:r>
        <w:rPr>
          <w:rFonts w:hint="eastAsia" w:ascii="仿宋" w:hAnsi="仿宋" w:eastAsia="仿宋" w:cs="仿宋"/>
          <w:sz w:val="28"/>
          <w:szCs w:val="28"/>
          <w:lang w:val="en-US" w:eastAsia="zh-CN"/>
        </w:rPr>
        <w:t>5</w:t>
      </w:r>
      <w:r>
        <w:rPr>
          <w:rFonts w:hint="eastAsia" w:ascii="仿宋" w:hAnsi="仿宋" w:eastAsia="仿宋" w:cs="仿宋"/>
          <w:sz w:val="28"/>
          <w:szCs w:val="28"/>
        </w:rPr>
        <w:t>月</w:t>
      </w:r>
      <w:r>
        <w:rPr>
          <w:rFonts w:hint="eastAsia" w:ascii="仿宋" w:hAnsi="仿宋" w:eastAsia="仿宋" w:cs="仿宋"/>
          <w:sz w:val="28"/>
          <w:szCs w:val="28"/>
          <w:lang w:val="en-US" w:eastAsia="zh-CN"/>
        </w:rPr>
        <w:t>——</w:t>
      </w:r>
      <w:r>
        <w:rPr>
          <w:rFonts w:eastAsia="仿宋"/>
          <w:sz w:val="28"/>
          <w:szCs w:val="28"/>
        </w:rPr>
        <w:t>形式审查</w:t>
      </w:r>
      <w:r>
        <w:rPr>
          <w:rFonts w:hint="eastAsia" w:eastAsia="仿宋"/>
          <w:sz w:val="28"/>
          <w:szCs w:val="28"/>
          <w:lang w:val="en-US" w:eastAsia="zh-CN"/>
        </w:rPr>
        <w:t>及</w:t>
      </w:r>
      <w:r>
        <w:rPr>
          <w:rFonts w:eastAsia="仿宋"/>
          <w:sz w:val="28"/>
          <w:szCs w:val="28"/>
        </w:rPr>
        <w:t>标准</w:t>
      </w:r>
      <w:r>
        <w:rPr>
          <w:rFonts w:hint="eastAsia" w:eastAsia="仿宋"/>
          <w:sz w:val="28"/>
          <w:szCs w:val="28"/>
        </w:rPr>
        <w:t>三</w:t>
      </w:r>
      <w:r>
        <w:rPr>
          <w:rFonts w:eastAsia="仿宋"/>
          <w:sz w:val="28"/>
          <w:szCs w:val="28"/>
        </w:rPr>
        <w:t>稿编制：邀请标准编制专家进行了形式审查会</w:t>
      </w:r>
      <w:r>
        <w:rPr>
          <w:rFonts w:hint="eastAsia" w:eastAsia="仿宋"/>
          <w:sz w:val="28"/>
          <w:szCs w:val="28"/>
          <w:lang w:eastAsia="zh-CN"/>
        </w:rPr>
        <w:t>，</w:t>
      </w:r>
      <w:r>
        <w:rPr>
          <w:rFonts w:hint="eastAsia" w:eastAsia="仿宋"/>
          <w:sz w:val="28"/>
          <w:szCs w:val="28"/>
        </w:rPr>
        <w:t>根据专家意见修改完善标准</w:t>
      </w:r>
      <w:r>
        <w:rPr>
          <w:rFonts w:hint="eastAsia" w:eastAsia="仿宋"/>
          <w:sz w:val="28"/>
          <w:szCs w:val="28"/>
          <w:lang w:eastAsia="zh-CN"/>
        </w:rPr>
        <w:t>，</w:t>
      </w:r>
      <w:r>
        <w:rPr>
          <w:rFonts w:hint="eastAsia" w:eastAsia="仿宋"/>
          <w:sz w:val="28"/>
          <w:szCs w:val="28"/>
          <w:lang w:val="en-US" w:eastAsia="zh-CN"/>
        </w:rPr>
        <w:t>进一步优化标准框架，各分项工程按照功能要求、数据要求、硬件要求进行结构编制。</w:t>
      </w:r>
    </w:p>
    <w:p>
      <w:pPr>
        <w:pStyle w:val="2"/>
        <w:rPr>
          <w:lang w:val="en-US"/>
        </w:rPr>
      </w:pPr>
    </w:p>
    <w:p>
      <w:pPr>
        <w:pStyle w:val="3"/>
        <w:spacing w:before="100" w:after="100"/>
        <w:rPr>
          <w:rFonts w:ascii="黑体" w:hAnsi="黑体" w:eastAsia="黑体" w:cs="黑体"/>
          <w:sz w:val="36"/>
          <w:szCs w:val="36"/>
        </w:rPr>
      </w:pPr>
      <w:bookmarkStart w:id="7" w:name="_Toc5476"/>
      <w:r>
        <w:rPr>
          <w:rFonts w:hint="eastAsia" w:ascii="黑体" w:hAnsi="黑体" w:eastAsia="黑体" w:cs="黑体"/>
          <w:sz w:val="36"/>
          <w:szCs w:val="36"/>
        </w:rPr>
        <w:t>四、主要内容技术指标确立</w:t>
      </w:r>
      <w:bookmarkEnd w:id="7"/>
    </w:p>
    <w:p>
      <w:pPr>
        <w:pStyle w:val="4"/>
        <w:rPr>
          <w:rFonts w:ascii="Times New Roman" w:hAnsi="Times New Roman" w:cs="Times New Roman"/>
        </w:rPr>
      </w:pPr>
      <w:r>
        <w:rPr>
          <w:rFonts w:hint="eastAsia" w:ascii="Times New Roman" w:hAnsi="Times New Roman" w:cs="Times New Roman"/>
        </w:rPr>
        <w:t>4.1 主要内容</w:t>
      </w:r>
    </w:p>
    <w:p>
      <w:pPr>
        <w:adjustRightInd w:val="0"/>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文件内容包括：术语和定义、基本规定、综合管理模块、路基施工模块、路面施工模块、桥梁施工模块、隧道施工模块、系统集成与安全、平台运行维护。</w:t>
      </w:r>
    </w:p>
    <w:p>
      <w:pPr>
        <w:pStyle w:val="2"/>
        <w:rPr>
          <w:rFonts w:hint="eastAsia" w:ascii="仿宋" w:hAnsi="仿宋" w:eastAsia="仿宋" w:cs="仿宋"/>
          <w:sz w:val="28"/>
          <w:szCs w:val="28"/>
        </w:rPr>
      </w:pPr>
    </w:p>
    <w:p>
      <w:pPr>
        <w:pStyle w:val="2"/>
        <w:rPr>
          <w:rFonts w:hint="eastAsia" w:ascii="仿宋" w:hAnsi="仿宋" w:eastAsia="仿宋" w:cs="仿宋"/>
          <w:sz w:val="28"/>
          <w:szCs w:val="28"/>
        </w:rPr>
      </w:pPr>
    </w:p>
    <w:p>
      <w:pPr>
        <w:pStyle w:val="4"/>
        <w:rPr>
          <w:rFonts w:ascii="Times New Roman" w:hAnsi="Times New Roman" w:cs="Times New Roman"/>
        </w:rPr>
      </w:pPr>
      <w:r>
        <w:rPr>
          <w:rFonts w:hint="eastAsia" w:ascii="Times New Roman" w:hAnsi="Times New Roman" w:cs="Times New Roman"/>
        </w:rPr>
        <w:t>4.2 主要内容技术指标确立依据</w:t>
      </w:r>
    </w:p>
    <w:p>
      <w:pPr>
        <w:adjustRightInd w:val="0"/>
        <w:snapToGrid w:val="0"/>
        <w:spacing w:line="360" w:lineRule="auto"/>
        <w:rPr>
          <w:rFonts w:ascii="Times New Roman" w:hAnsi="Times New Roman" w:eastAsia="宋体" w:cs="Times New Roman"/>
          <w:b/>
          <w:bCs/>
          <w:sz w:val="24"/>
        </w:rPr>
      </w:pPr>
      <w:r>
        <w:rPr>
          <w:rFonts w:hint="eastAsia" w:ascii="Times New Roman" w:hAnsi="Times New Roman" w:eastAsia="宋体" w:cs="Times New Roman"/>
          <w:b/>
          <w:bCs/>
          <w:sz w:val="24"/>
        </w:rPr>
        <w:t>（1）基本规定</w:t>
      </w:r>
    </w:p>
    <w:p>
      <w:pPr>
        <w:adjustRightInd w:val="0"/>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基本规定内容包含基本原则、基本要求、系统架构、系统安全及使用场景。智慧工地建设与应用涉及公路工程参建各方单位，包括建设管理、监理、设计、施工等，本指南在广泛调研基础上，总结分析了智慧工地建设模式，以建设管理与建设施工方为主要对象，减少智慧工地各方重复建设投入，更加规范、科学、经济进行智慧工地建设。本指南据此设置指南各章节目录，其中综合业务主要以项目建设管理方需求为主，路基路面、桥梁、隧道施工主要以项目建设施工方需求为主，系统支撑保障主要以智慧工地系统开发单位需求为主。</w:t>
      </w:r>
    </w:p>
    <w:p>
      <w:pPr>
        <w:adjustRightInd w:val="0"/>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由于各地区、项目信息化发展水平存在差异，本指南提出的技术要求为普适性、推荐性要求。各工程建设项目智慧工地建设内容应根据合同要求开展，鼓励在本指南的智慧工地建设要求基础上进行完善、拓展和提升。</w:t>
      </w:r>
    </w:p>
    <w:p>
      <w:pPr>
        <w:adjustRightInd w:val="0"/>
        <w:snapToGrid w:val="0"/>
        <w:spacing w:line="360" w:lineRule="auto"/>
        <w:rPr>
          <w:rFonts w:ascii="Times New Roman" w:hAnsi="Times New Roman" w:eastAsia="宋体" w:cs="Times New Roman"/>
          <w:b/>
          <w:bCs/>
          <w:sz w:val="24"/>
        </w:rPr>
      </w:pPr>
      <w:r>
        <w:rPr>
          <w:rFonts w:hint="eastAsia" w:ascii="Times New Roman" w:hAnsi="Times New Roman" w:eastAsia="宋体" w:cs="Times New Roman"/>
          <w:b/>
          <w:bCs/>
          <w:sz w:val="24"/>
        </w:rPr>
        <w:t>（2）综合管理模块</w:t>
      </w:r>
    </w:p>
    <w:p>
      <w:pPr>
        <w:adjustRightInd w:val="0"/>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综合业务管理主要面向工程建设管理单位，相关流程涉及项目设计、施工、监理、技术服务等单位的业务协同。根据项目建设特征化需求，项目综合业务管理中可能也会涉及平安百年品质工程管理、党建文化创建等，可结合具体相关业务的关联度与协同性，在智慧工地系统中进行集约化建设。</w:t>
      </w:r>
    </w:p>
    <w:p>
      <w:pPr>
        <w:numPr>
          <w:ilvl w:val="0"/>
          <w:numId w:val="1"/>
        </w:numPr>
        <w:adjustRightInd w:val="0"/>
        <w:snapToGrid w:val="0"/>
        <w:spacing w:line="360" w:lineRule="auto"/>
        <w:ind w:left="0" w:firstLine="560" w:firstLineChars="200"/>
        <w:rPr>
          <w:rFonts w:hint="eastAsia" w:ascii="仿宋" w:hAnsi="仿宋" w:eastAsia="仿宋" w:cs="仿宋"/>
          <w:sz w:val="28"/>
          <w:szCs w:val="28"/>
        </w:rPr>
      </w:pPr>
      <w:r>
        <w:rPr>
          <w:rFonts w:hint="eastAsia" w:ascii="仿宋" w:hAnsi="仿宋" w:eastAsia="仿宋" w:cs="仿宋"/>
          <w:sz w:val="28"/>
          <w:szCs w:val="28"/>
        </w:rPr>
        <w:t>组织及办公管理</w:t>
      </w:r>
    </w:p>
    <w:p>
      <w:pPr>
        <w:adjustRightInd w:val="0"/>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随着公路工程智慧工地技术的发展，采用统一WBS架构可显著提升智慧工地的应用与管理效能。在智慧工地建设前期规划中，一般由项目建设管理单位牵头，针对项目工程特征、管理要素特征、智慧工地功能特征等，协同BIM建设单位、系统开发单位等，研究建立统一的项目WBS架构。在项目综合业务管理、施工智慧管控等后续智慧工地功能开发中，相关功能与数据要求均基于此统一的架构与原则，来实现智慧工地建设的高效与协同。</w:t>
      </w:r>
    </w:p>
    <w:p>
      <w:pPr>
        <w:adjustRightInd w:val="0"/>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人员管理模块为保障农民工产业工人的劳动权益，项目建设单位应牵头与所在地区社会保障、银行等机构建立农民工工资专项管理机制，根据《</w:t>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https://www.baidu.com/s?wd=%E4%BF%9D%E9%9A%9C%E5%86%9C%E6%B0%91%E5%B7%A5%E5%B7%A5%E8%B5%84%E6%94%AF%E4%BB%98%E6%9D%A1%E4%BE%8B&amp;rsv_idx=2&amp;tn=baiduhome_pg&amp;usm=5&amp;ie=utf-8&amp;rsv_pq=d2a134060059094f&amp;oq=%E5%86%9C%E6%B0%91%E5%B7%A5%E5%B7%A5%E8%B5%84&amp;rsv_t=d8e0N%2BFMwZP%2FEyzWLtUmn5nfDjXz7QCrH4DPS9fYUrbQppjY4G1seNxAJTfNbIdojDxw&amp;sa=re_dqa_zy&amp;icon=1" \t "_self" </w:instrText>
      </w:r>
      <w:r>
        <w:rPr>
          <w:rFonts w:hint="eastAsia" w:ascii="仿宋" w:hAnsi="仿宋" w:eastAsia="仿宋" w:cs="仿宋"/>
          <w:sz w:val="28"/>
          <w:szCs w:val="28"/>
        </w:rPr>
        <w:fldChar w:fldCharType="separate"/>
      </w:r>
      <w:r>
        <w:rPr>
          <w:rFonts w:hint="eastAsia" w:ascii="仿宋" w:hAnsi="仿宋" w:eastAsia="仿宋" w:cs="仿宋"/>
          <w:sz w:val="28"/>
          <w:szCs w:val="28"/>
        </w:rPr>
        <w:t>保障农民工工资支付条例</w:t>
      </w:r>
      <w:r>
        <w:rPr>
          <w:rFonts w:hint="eastAsia" w:ascii="仿宋" w:hAnsi="仿宋" w:eastAsia="仿宋" w:cs="仿宋"/>
          <w:sz w:val="28"/>
          <w:szCs w:val="28"/>
        </w:rPr>
        <w:fldChar w:fldCharType="end"/>
      </w:r>
      <w:r>
        <w:rPr>
          <w:rFonts w:hint="eastAsia" w:ascii="仿宋" w:hAnsi="仿宋" w:eastAsia="仿宋" w:cs="仿宋"/>
          <w:sz w:val="28"/>
          <w:szCs w:val="28"/>
        </w:rPr>
        <w:t>》设置农民工工资专用账户，宜与智慧工地系统平台进行协同联动，具备条件情况下在智慧工地系统平台中开发相应的专用功能模块。</w:t>
      </w:r>
    </w:p>
    <w:p>
      <w:pPr>
        <w:numPr>
          <w:ilvl w:val="0"/>
          <w:numId w:val="1"/>
        </w:numPr>
        <w:adjustRightInd w:val="0"/>
        <w:snapToGrid w:val="0"/>
        <w:spacing w:line="360" w:lineRule="auto"/>
        <w:ind w:left="0" w:firstLine="560" w:firstLineChars="200"/>
        <w:rPr>
          <w:rFonts w:hint="eastAsia" w:ascii="仿宋" w:hAnsi="仿宋" w:eastAsia="仿宋" w:cs="仿宋"/>
          <w:sz w:val="28"/>
          <w:szCs w:val="28"/>
        </w:rPr>
      </w:pPr>
      <w:r>
        <w:rPr>
          <w:rFonts w:hint="eastAsia" w:ascii="仿宋" w:hAnsi="仿宋" w:eastAsia="仿宋" w:cs="仿宋"/>
          <w:sz w:val="28"/>
          <w:szCs w:val="28"/>
        </w:rPr>
        <w:t>质量管理</w:t>
      </w:r>
    </w:p>
    <w:p>
      <w:pPr>
        <w:adjustRightInd w:val="0"/>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近年来，随着智慧工地技术的发展与进步，试验检测管理数字化发展逐渐普及，项目建设管理单位、试验检测单位、监理单位、施工单位等大都已形成具有自身业务属性的试验检测管理平台。对于现场工地试验室来说，从集约资源角度出发，可由建设管理单位牵头制定试验检测管理平台规则和数据要求，在各自个性化平台基础上进行顶层汇聚功能开发，避免重复建设。</w:t>
      </w:r>
    </w:p>
    <w:p>
      <w:pPr>
        <w:numPr>
          <w:ilvl w:val="0"/>
          <w:numId w:val="1"/>
        </w:numPr>
        <w:adjustRightInd w:val="0"/>
        <w:snapToGrid w:val="0"/>
        <w:spacing w:line="360" w:lineRule="auto"/>
        <w:ind w:left="0" w:firstLine="560" w:firstLineChars="200"/>
        <w:rPr>
          <w:rFonts w:hint="eastAsia" w:ascii="仿宋" w:hAnsi="仿宋" w:eastAsia="仿宋" w:cs="仿宋"/>
          <w:sz w:val="28"/>
          <w:szCs w:val="28"/>
        </w:rPr>
      </w:pPr>
      <w:r>
        <w:rPr>
          <w:rFonts w:hint="eastAsia" w:ascii="仿宋" w:hAnsi="仿宋" w:eastAsia="仿宋" w:cs="仿宋"/>
          <w:sz w:val="28"/>
          <w:szCs w:val="28"/>
        </w:rPr>
        <w:t>绿色管理</w:t>
      </w:r>
    </w:p>
    <w:p>
      <w:pPr>
        <w:adjustRightInd w:val="0"/>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碳排放管理逐渐成为公路基础设施建设的重要内容，江苏等省份已将其纳入公路建设管理要素中，探索碳排放管理路径与模式，本指南中能耗与碳排放管理做了框架性建议，具体内容鼓励项目建设单位与参建单位结合当地生态环境部门具体要求进一步探索创新。</w:t>
      </w:r>
    </w:p>
    <w:p>
      <w:pPr>
        <w:adjustRightInd w:val="0"/>
        <w:snapToGrid w:val="0"/>
        <w:spacing w:line="360" w:lineRule="auto"/>
        <w:rPr>
          <w:rFonts w:ascii="Times New Roman" w:hAnsi="Times New Roman" w:eastAsia="宋体" w:cs="Times New Roman"/>
          <w:b/>
          <w:bCs/>
          <w:sz w:val="24"/>
        </w:rPr>
      </w:pPr>
      <w:r>
        <w:rPr>
          <w:rFonts w:hint="eastAsia" w:ascii="Times New Roman" w:hAnsi="Times New Roman" w:eastAsia="宋体" w:cs="Times New Roman"/>
          <w:b/>
          <w:bCs/>
          <w:sz w:val="24"/>
        </w:rPr>
        <w:t>（3）路基施工模块</w:t>
      </w:r>
    </w:p>
    <w:p>
      <w:pPr>
        <w:numPr>
          <w:ilvl w:val="0"/>
          <w:numId w:val="1"/>
        </w:numPr>
        <w:adjustRightInd w:val="0"/>
        <w:snapToGrid w:val="0"/>
        <w:spacing w:line="360" w:lineRule="auto"/>
        <w:ind w:left="0" w:firstLine="560" w:firstLineChars="200"/>
        <w:rPr>
          <w:rFonts w:hint="eastAsia" w:ascii="仿宋" w:hAnsi="仿宋" w:eastAsia="仿宋" w:cs="仿宋"/>
          <w:sz w:val="28"/>
          <w:szCs w:val="28"/>
        </w:rPr>
      </w:pPr>
      <w:r>
        <w:rPr>
          <w:rFonts w:hint="eastAsia" w:ascii="仿宋" w:hAnsi="仿宋" w:eastAsia="仿宋" w:cs="仿宋"/>
          <w:sz w:val="28"/>
          <w:szCs w:val="28"/>
        </w:rPr>
        <w:t>一般规定</w:t>
      </w:r>
    </w:p>
    <w:p>
      <w:pPr>
        <w:adjustRightInd w:val="0"/>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根据我国公路工程路基施工建设特点，路基施工工艺主要包含软土地基施工、路基压实、边坡施工、涵洞施工。个别地区还存在冻土路基、岩土地基等特殊地基种类，其路基智慧施工本指南不做规定。</w:t>
      </w:r>
    </w:p>
    <w:p>
      <w:pPr>
        <w:numPr>
          <w:ilvl w:val="0"/>
          <w:numId w:val="1"/>
        </w:numPr>
        <w:adjustRightInd w:val="0"/>
        <w:snapToGrid w:val="0"/>
        <w:spacing w:line="360" w:lineRule="auto"/>
        <w:ind w:left="0" w:firstLine="560" w:firstLineChars="200"/>
        <w:rPr>
          <w:rFonts w:hint="eastAsia" w:ascii="仿宋" w:hAnsi="仿宋" w:eastAsia="仿宋" w:cs="仿宋"/>
          <w:sz w:val="28"/>
          <w:szCs w:val="28"/>
        </w:rPr>
      </w:pPr>
      <w:r>
        <w:rPr>
          <w:rFonts w:hint="eastAsia" w:ascii="仿宋" w:hAnsi="仿宋" w:eastAsia="仿宋" w:cs="仿宋"/>
          <w:sz w:val="28"/>
          <w:szCs w:val="28"/>
        </w:rPr>
        <w:t>软基施工</w:t>
      </w:r>
    </w:p>
    <w:p>
      <w:pPr>
        <w:adjustRightInd w:val="0"/>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不同软基施工方法需要监测的具体内容很多，根据监测技术的成熟度及普适性，本条文列举的监测参数为当前阶段技术水平较为成熟的内容，具体施工监测参数可根据当地施工条件优化增加。</w:t>
      </w:r>
    </w:p>
    <w:p>
      <w:pPr>
        <w:numPr>
          <w:ilvl w:val="0"/>
          <w:numId w:val="1"/>
        </w:numPr>
        <w:adjustRightInd w:val="0"/>
        <w:snapToGrid w:val="0"/>
        <w:spacing w:line="360" w:lineRule="auto"/>
        <w:ind w:left="0" w:firstLine="560" w:firstLineChars="200"/>
        <w:rPr>
          <w:rFonts w:hint="eastAsia" w:ascii="仿宋" w:hAnsi="仿宋" w:eastAsia="仿宋" w:cs="仿宋"/>
          <w:sz w:val="28"/>
          <w:szCs w:val="28"/>
        </w:rPr>
      </w:pPr>
      <w:r>
        <w:rPr>
          <w:rFonts w:hint="eastAsia" w:ascii="仿宋" w:hAnsi="仿宋" w:eastAsia="仿宋" w:cs="仿宋"/>
          <w:sz w:val="28"/>
          <w:szCs w:val="28"/>
        </w:rPr>
        <w:t>路基压实施工</w:t>
      </w:r>
    </w:p>
    <w:p>
      <w:pPr>
        <w:adjustRightInd w:val="0"/>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路基智能压实技术已发展多年，技术应用相对较为成熟，压实参数的采集与反馈方式对于压实质量控制尤为关键，考虑到各地信息化发展水平的差异，可制定差异化的压实监测方案。近年来，由于人工智能技术革新与进步，鼓励智慧工地建设与开发单位进一步探索研究振动轮质量分配控制、振幅控制等。</w:t>
      </w:r>
    </w:p>
    <w:p>
      <w:pPr>
        <w:pStyle w:val="2"/>
        <w:rPr>
          <w:rFonts w:ascii="Times New Roman" w:hAnsi="Times New Roman" w:eastAsia="楷体"/>
          <w:szCs w:val="32"/>
          <w:lang w:val="en-US"/>
        </w:rPr>
      </w:pPr>
    </w:p>
    <w:p>
      <w:pPr>
        <w:adjustRightInd w:val="0"/>
        <w:snapToGrid w:val="0"/>
        <w:spacing w:line="360" w:lineRule="auto"/>
        <w:rPr>
          <w:rFonts w:ascii="Times New Roman" w:hAnsi="Times New Roman" w:eastAsia="宋体" w:cs="Times New Roman"/>
          <w:b/>
          <w:bCs/>
          <w:sz w:val="24"/>
        </w:rPr>
      </w:pPr>
      <w:r>
        <w:rPr>
          <w:rFonts w:hint="eastAsia" w:ascii="Times New Roman" w:hAnsi="Times New Roman" w:eastAsia="宋体" w:cs="Times New Roman"/>
          <w:b/>
          <w:bCs/>
          <w:sz w:val="24"/>
        </w:rPr>
        <w:t>（4）路面施工模块</w:t>
      </w:r>
    </w:p>
    <w:p>
      <w:pPr>
        <w:numPr>
          <w:ilvl w:val="0"/>
          <w:numId w:val="1"/>
        </w:numPr>
        <w:adjustRightInd w:val="0"/>
        <w:snapToGrid w:val="0"/>
        <w:spacing w:line="360" w:lineRule="auto"/>
        <w:ind w:left="0" w:firstLine="560" w:firstLineChars="200"/>
        <w:rPr>
          <w:rFonts w:hint="eastAsia" w:ascii="仿宋" w:hAnsi="仿宋" w:eastAsia="仿宋" w:cs="仿宋"/>
          <w:sz w:val="28"/>
          <w:szCs w:val="28"/>
        </w:rPr>
      </w:pPr>
      <w:r>
        <w:rPr>
          <w:rFonts w:hint="eastAsia" w:ascii="仿宋" w:hAnsi="仿宋" w:eastAsia="仿宋" w:cs="仿宋"/>
          <w:sz w:val="28"/>
          <w:szCs w:val="28"/>
        </w:rPr>
        <w:t>一般规定</w:t>
      </w:r>
    </w:p>
    <w:p>
      <w:pPr>
        <w:adjustRightInd w:val="0"/>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根据我国公路工程路面施工建设特点，路面施工工艺主要包含基层底基层混合料材料生产、面层混合料材料生产、基层底基层摊铺压实、面层摊铺压实等。除此以外，路面施工分项工程中还包含中央分隔带、路肩、路面排水设施，其智慧施工本指南不做规定。</w:t>
      </w:r>
    </w:p>
    <w:p>
      <w:pPr>
        <w:numPr>
          <w:ilvl w:val="0"/>
          <w:numId w:val="1"/>
        </w:numPr>
        <w:adjustRightInd w:val="0"/>
        <w:snapToGrid w:val="0"/>
        <w:spacing w:line="360" w:lineRule="auto"/>
        <w:ind w:left="0" w:firstLine="560" w:firstLineChars="200"/>
        <w:rPr>
          <w:rFonts w:hint="eastAsia" w:ascii="仿宋" w:hAnsi="仿宋" w:eastAsia="仿宋" w:cs="仿宋"/>
          <w:sz w:val="28"/>
          <w:szCs w:val="28"/>
        </w:rPr>
      </w:pPr>
      <w:r>
        <w:rPr>
          <w:rFonts w:hint="eastAsia" w:ascii="仿宋" w:hAnsi="仿宋" w:eastAsia="仿宋" w:cs="仿宋"/>
          <w:sz w:val="28"/>
          <w:szCs w:val="28"/>
        </w:rPr>
        <w:t>水稳混合料拌和</w:t>
      </w:r>
    </w:p>
    <w:p>
      <w:pPr>
        <w:adjustRightInd w:val="0"/>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水稳混合料拌和站生产管理应获取每车混合料生产数据，拌和站生产平台宜设置目标配合比生产过程中实时对比，异常数据宜根据预设规则设置多级预警，宜通过短信或其他推送方式将异常信息推送至对应负责人员，拌和站管理平台宜设置拌和数据历史查询功能、质量分析等分析功能。</w:t>
      </w:r>
    </w:p>
    <w:p>
      <w:pPr>
        <w:adjustRightInd w:val="0"/>
        <w:snapToGrid w:val="0"/>
        <w:spacing w:line="360" w:lineRule="auto"/>
        <w:rPr>
          <w:rFonts w:ascii="Times New Roman" w:hAnsi="Times New Roman" w:eastAsia="宋体" w:cs="Times New Roman"/>
          <w:b/>
          <w:bCs/>
          <w:sz w:val="24"/>
        </w:rPr>
      </w:pPr>
      <w:r>
        <w:rPr>
          <w:rFonts w:hint="eastAsia" w:ascii="Times New Roman" w:hAnsi="Times New Roman" w:eastAsia="宋体" w:cs="Times New Roman"/>
          <w:b/>
          <w:bCs/>
          <w:sz w:val="24"/>
        </w:rPr>
        <w:t>（5）桥梁施工模块</w:t>
      </w:r>
    </w:p>
    <w:p>
      <w:pPr>
        <w:numPr>
          <w:ilvl w:val="0"/>
          <w:numId w:val="1"/>
        </w:numPr>
        <w:adjustRightInd w:val="0"/>
        <w:snapToGrid w:val="0"/>
        <w:spacing w:line="360" w:lineRule="auto"/>
        <w:ind w:left="0" w:firstLine="560" w:firstLineChars="200"/>
        <w:rPr>
          <w:rFonts w:hint="eastAsia" w:ascii="仿宋" w:hAnsi="仿宋" w:eastAsia="仿宋" w:cs="仿宋"/>
          <w:sz w:val="28"/>
          <w:szCs w:val="28"/>
        </w:rPr>
      </w:pPr>
      <w:r>
        <w:rPr>
          <w:rFonts w:hint="eastAsia" w:ascii="仿宋" w:hAnsi="仿宋" w:eastAsia="仿宋" w:cs="仿宋"/>
          <w:sz w:val="28"/>
          <w:szCs w:val="28"/>
        </w:rPr>
        <w:t>混凝土拌和</w:t>
      </w:r>
    </w:p>
    <w:p>
      <w:pPr>
        <w:adjustRightInd w:val="0"/>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自动拌和设备应能自动下发拌和生产任务单，自动采集材料计量数据、级配数据、拌和时间等关键参数数据，应能对生产数据形成报表，分类汇总生产各关键指标。自动拌和设备数据接口应开放，可与其它系统连通，提供数据下载，并应能与主流质量管理软件对接，使主流质量管理软件直接读取拌和数据，并进行分析。</w:t>
      </w:r>
    </w:p>
    <w:p>
      <w:pPr>
        <w:numPr>
          <w:ilvl w:val="0"/>
          <w:numId w:val="1"/>
        </w:numPr>
        <w:adjustRightInd w:val="0"/>
        <w:snapToGrid w:val="0"/>
        <w:spacing w:line="360" w:lineRule="auto"/>
        <w:ind w:left="0" w:firstLine="560" w:firstLineChars="200"/>
        <w:rPr>
          <w:rFonts w:hint="eastAsia" w:ascii="仿宋" w:hAnsi="仿宋" w:eastAsia="仿宋" w:cs="仿宋"/>
          <w:sz w:val="28"/>
          <w:szCs w:val="28"/>
        </w:rPr>
      </w:pPr>
      <w:r>
        <w:rPr>
          <w:rFonts w:hint="eastAsia" w:ascii="仿宋" w:hAnsi="仿宋" w:eastAsia="仿宋" w:cs="仿宋"/>
          <w:sz w:val="28"/>
          <w:szCs w:val="28"/>
        </w:rPr>
        <w:t>钢结构构件预制</w:t>
      </w:r>
    </w:p>
    <w:p>
      <w:pPr>
        <w:adjustRightInd w:val="0"/>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钢结构构件预制应采用工厂化生产模式。对于自动化、智能化程度较高的预制构件生产线，可开展钢结构产线设备智能化分析，包括但不限于标准KPI类分析：设备利用率、故障率、设备综合利用率（OEE），设备启停分析、待机时间分析、生产状态分析；建立5G+MAC的高精度网络，联通智能信息系统和车间自动化设备，实现制造数据实时采集、人机协调控制的智能生产模式。</w:t>
      </w:r>
    </w:p>
    <w:p>
      <w:pPr>
        <w:adjustRightInd w:val="0"/>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钢结构预制构件智能管理及生产线主要由MES（生产制造执行系统）、自动化生产设备、控制系统、输送系统构成，生产制造执行系统通过接口与PLC（可编程逻辑控制器）、上位机或加装设备传感器等方式与设备进行数据交互，实时监控设备停开机状态、设备有效工作时间等，采集生产过程信息。</w:t>
      </w:r>
    </w:p>
    <w:p>
      <w:pPr>
        <w:adjustRightInd w:val="0"/>
        <w:snapToGrid w:val="0"/>
        <w:spacing w:line="360" w:lineRule="auto"/>
        <w:rPr>
          <w:rFonts w:ascii="Times New Roman" w:hAnsi="Times New Roman" w:eastAsia="宋体" w:cs="Times New Roman"/>
          <w:b/>
          <w:bCs/>
          <w:sz w:val="24"/>
        </w:rPr>
      </w:pPr>
      <w:r>
        <w:rPr>
          <w:rFonts w:hint="eastAsia" w:ascii="Times New Roman" w:hAnsi="Times New Roman" w:eastAsia="宋体" w:cs="Times New Roman"/>
          <w:b/>
          <w:bCs/>
          <w:sz w:val="24"/>
        </w:rPr>
        <w:t>（6）隧道施工模块</w:t>
      </w:r>
    </w:p>
    <w:p>
      <w:pPr>
        <w:adjustRightInd w:val="0"/>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隧道施工模块信息化技术要求重点参考省内重点隧道施工项目技术经验，通过对不同项目信息化施工方案总结归纳，形成不同施工类型隧道智慧化技术指南。</w:t>
      </w:r>
    </w:p>
    <w:p>
      <w:pPr>
        <w:adjustRightInd w:val="0"/>
        <w:snapToGrid w:val="0"/>
        <w:spacing w:line="360" w:lineRule="auto"/>
        <w:rPr>
          <w:rFonts w:ascii="Times New Roman" w:hAnsi="Times New Roman" w:eastAsia="宋体" w:cs="Times New Roman"/>
          <w:b/>
          <w:bCs/>
          <w:sz w:val="24"/>
        </w:rPr>
      </w:pPr>
      <w:r>
        <w:rPr>
          <w:rFonts w:hint="eastAsia" w:ascii="Times New Roman" w:hAnsi="Times New Roman" w:eastAsia="宋体" w:cs="Times New Roman"/>
          <w:b/>
          <w:bCs/>
          <w:sz w:val="24"/>
        </w:rPr>
        <w:t>（7）系统集成与安全</w:t>
      </w:r>
    </w:p>
    <w:p>
      <w:pPr>
        <w:numPr>
          <w:ilvl w:val="0"/>
          <w:numId w:val="1"/>
        </w:numPr>
        <w:adjustRightInd w:val="0"/>
        <w:snapToGrid w:val="0"/>
        <w:spacing w:line="360" w:lineRule="auto"/>
        <w:ind w:left="0" w:firstLine="560" w:firstLineChars="200"/>
        <w:rPr>
          <w:rFonts w:hint="eastAsia" w:ascii="仿宋" w:hAnsi="仿宋" w:eastAsia="仿宋" w:cs="仿宋"/>
          <w:sz w:val="28"/>
          <w:szCs w:val="28"/>
        </w:rPr>
      </w:pPr>
      <w:r>
        <w:rPr>
          <w:rFonts w:hint="eastAsia" w:ascii="仿宋" w:hAnsi="仿宋" w:eastAsia="仿宋" w:cs="仿宋"/>
          <w:sz w:val="28"/>
          <w:szCs w:val="28"/>
        </w:rPr>
        <w:t>系统集成</w:t>
      </w:r>
    </w:p>
    <w:p>
      <w:pPr>
        <w:adjustRightInd w:val="0"/>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数据标准规范旨在不同业务模块间，形成信息的一致理解和统一的坐标参照，是信息汇集、交换以及应用的基础，可包括数据分类与编码、数据字典、数字地图标准等。公路工程智慧工地是一个综合业务系统，宜根据具体业务类型建立不同主题数据库进行数据存储，如综合管理数据库、人员管理数据库、设备管理数据库、物料管理数据库、质量管理数据库、环境管理数据库、安全管理数据库、数字模型管理数据库等。数据存储时间宜不低于3年。</w:t>
      </w:r>
    </w:p>
    <w:p>
      <w:pPr>
        <w:numPr>
          <w:ilvl w:val="0"/>
          <w:numId w:val="1"/>
        </w:numPr>
        <w:adjustRightInd w:val="0"/>
        <w:snapToGrid w:val="0"/>
        <w:spacing w:line="360" w:lineRule="auto"/>
        <w:ind w:left="0" w:firstLine="560" w:firstLineChars="200"/>
        <w:rPr>
          <w:rFonts w:hint="eastAsia" w:ascii="仿宋" w:hAnsi="仿宋" w:eastAsia="仿宋" w:cs="仿宋"/>
          <w:sz w:val="28"/>
          <w:szCs w:val="28"/>
        </w:rPr>
      </w:pPr>
      <w:r>
        <w:rPr>
          <w:rFonts w:hint="eastAsia" w:ascii="仿宋" w:hAnsi="仿宋" w:eastAsia="仿宋" w:cs="仿宋"/>
          <w:sz w:val="28"/>
          <w:szCs w:val="28"/>
        </w:rPr>
        <w:t>系统安全</w:t>
      </w:r>
    </w:p>
    <w:p>
      <w:pPr>
        <w:adjustRightInd w:val="0"/>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智慧工地系统宜支持物联网传感自动采集（包括但不限于HTTPS、HTTP、TCP、UDP、MQTT、RTSP、RTMP等通信协议传输）和数据库或系统接口获取（接口数据格式支持包括但不限于JSON、XML、CSV文本等数据交换格式）；平台支宜提供多样化的采集策略（定时、实时、事件触发）和多种抽取、汇总、共享方式，可选择主动上报或被动采集，传输频率可支持可配置，业务数据根据设置周期频率上传，物联数据采集根据实际数据生成频率上传；数据传递安全是根据数据的敏感程度、密级程度或开放范围进行划分，对数据服务请求进行权限鉴别，防止数据被窃取、滥用，为数据交换提供安全保障，可包括交换限定、数字签名、数据加密、数据脱敏、数据分发审核等方式，以保护数据免受未经授权的访问。</w:t>
      </w:r>
    </w:p>
    <w:p>
      <w:pPr>
        <w:adjustRightInd w:val="0"/>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数据分类分级不仅对智慧工地系统人员岗位职责、权限和安全保障措施具有决定性的影响，还对系统的安全防护级别提供了依据，如高级数据需要实现细粒度规则管控和数据加密，低级别数据实现单向审计即可。数据资产梳理，不仅包括对数据资产的盘点、梳理和分类，还包括了对数据资产分级的粒度和定级要素的识别；在数据安全级别判定中，出来依据相关国家级行业规定，还要综合考虑数据规模、数据聚合、数据时效性、数据形态(如是否经汇总、加工、统计、脱敏或匿名化处理等)等因素。</w:t>
      </w:r>
    </w:p>
    <w:p>
      <w:pPr>
        <w:adjustRightInd w:val="0"/>
        <w:snapToGrid w:val="0"/>
        <w:spacing w:line="360" w:lineRule="auto"/>
        <w:rPr>
          <w:rFonts w:ascii="Times New Roman" w:hAnsi="Times New Roman" w:eastAsia="宋体" w:cs="Times New Roman"/>
          <w:b/>
          <w:bCs/>
          <w:sz w:val="24"/>
        </w:rPr>
      </w:pPr>
      <w:r>
        <w:rPr>
          <w:rFonts w:hint="eastAsia" w:ascii="Times New Roman" w:hAnsi="Times New Roman" w:eastAsia="宋体" w:cs="Times New Roman"/>
          <w:b/>
          <w:bCs/>
          <w:sz w:val="24"/>
        </w:rPr>
        <w:t>（8）平台运行维护</w:t>
      </w:r>
    </w:p>
    <w:p>
      <w:pPr>
        <w:numPr>
          <w:ilvl w:val="0"/>
          <w:numId w:val="1"/>
        </w:numPr>
        <w:adjustRightInd w:val="0"/>
        <w:snapToGrid w:val="0"/>
        <w:spacing w:line="360" w:lineRule="auto"/>
        <w:ind w:left="0" w:firstLine="560" w:firstLineChars="200"/>
        <w:rPr>
          <w:rFonts w:hint="eastAsia" w:ascii="仿宋" w:hAnsi="仿宋" w:eastAsia="仿宋" w:cs="仿宋"/>
          <w:sz w:val="28"/>
          <w:szCs w:val="28"/>
        </w:rPr>
      </w:pPr>
      <w:r>
        <w:rPr>
          <w:rFonts w:hint="eastAsia" w:ascii="仿宋" w:hAnsi="仿宋" w:eastAsia="仿宋" w:cs="仿宋"/>
          <w:sz w:val="28"/>
          <w:szCs w:val="28"/>
        </w:rPr>
        <w:t>系统维护要求</w:t>
      </w:r>
    </w:p>
    <w:p>
      <w:pPr>
        <w:adjustRightInd w:val="0"/>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在系统层面，应建立自动定期的数据备份策略，确保数据备份的完整性和可靠性；在应用层面，通过本地或异地副本，建立数据复制、备份与恢复机制；在容灾机制方面，当灾难（主库崩库、系统宕机、网络中断、停电、病毒攻击等）发生时，系统无法正常对外提供服务时，需要快速恢复业务，此时可通过从生产库切换至备用库，快速在备用库上恢复业务，保障业务连续性，并可支持按不同粒度的数据回溯功能。</w:t>
      </w:r>
    </w:p>
    <w:p>
      <w:pPr>
        <w:pStyle w:val="3"/>
        <w:spacing w:before="100" w:after="100"/>
        <w:rPr>
          <w:rFonts w:hint="eastAsia" w:ascii="黑体" w:hAnsi="黑体" w:eastAsia="黑体" w:cs="黑体"/>
          <w:sz w:val="36"/>
          <w:szCs w:val="36"/>
          <w:lang w:val="en-US"/>
        </w:rPr>
      </w:pPr>
      <w:bookmarkStart w:id="8" w:name="_Toc167866655"/>
      <w:r>
        <w:rPr>
          <w:rFonts w:hint="eastAsia" w:ascii="黑体" w:hAnsi="黑体" w:eastAsia="黑体" w:cs="黑体"/>
          <w:sz w:val="36"/>
          <w:szCs w:val="36"/>
          <w:lang w:val="en-US"/>
        </w:rPr>
        <w:t>五、重大分歧意见的处理过程和依据</w:t>
      </w:r>
      <w:bookmarkEnd w:id="8"/>
    </w:p>
    <w:p>
      <w:pPr>
        <w:spacing w:line="360" w:lineRule="auto"/>
        <w:ind w:firstLine="560" w:firstLineChars="200"/>
      </w:pPr>
      <w:r>
        <w:rPr>
          <w:rFonts w:eastAsia="仿宋"/>
          <w:sz w:val="28"/>
          <w:szCs w:val="28"/>
        </w:rPr>
        <w:t>无。</w:t>
      </w:r>
    </w:p>
    <w:p>
      <w:pPr>
        <w:pStyle w:val="3"/>
        <w:spacing w:before="100" w:after="100"/>
        <w:rPr>
          <w:rFonts w:ascii="黑体" w:hAnsi="黑体" w:eastAsia="黑体" w:cs="黑体"/>
          <w:sz w:val="36"/>
          <w:szCs w:val="36"/>
        </w:rPr>
      </w:pPr>
      <w:bookmarkStart w:id="9" w:name="_Toc30953"/>
      <w:r>
        <w:rPr>
          <w:rFonts w:hint="eastAsia" w:ascii="黑体" w:hAnsi="黑体" w:eastAsia="黑体" w:cs="黑体"/>
          <w:sz w:val="36"/>
          <w:szCs w:val="36"/>
          <w:lang w:val="en-US" w:eastAsia="zh-CN"/>
        </w:rPr>
        <w:t>六</w:t>
      </w:r>
      <w:r>
        <w:rPr>
          <w:rFonts w:hint="eastAsia" w:ascii="黑体" w:hAnsi="黑体" w:eastAsia="黑体" w:cs="黑体"/>
          <w:sz w:val="36"/>
          <w:szCs w:val="36"/>
        </w:rPr>
        <w:t>、与相关法律法规和国家标准的关系</w:t>
      </w:r>
      <w:bookmarkEnd w:id="9"/>
    </w:p>
    <w:p>
      <w:pPr>
        <w:adjustRightInd w:val="0"/>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根据《公路工程标准体系》（JTG 1001-2017）相关规定与要求，本指南归属于标准体系框架通用板块的智慧序列，见图</w:t>
      </w:r>
      <w:r>
        <w:rPr>
          <w:rFonts w:hint="eastAsia" w:ascii="仿宋" w:hAnsi="仿宋" w:eastAsia="仿宋" w:cs="仿宋"/>
          <w:sz w:val="28"/>
          <w:szCs w:val="28"/>
          <w:lang w:val="en-US" w:eastAsia="zh-CN"/>
        </w:rPr>
        <w:t>2</w:t>
      </w:r>
      <w:r>
        <w:rPr>
          <w:rFonts w:hint="eastAsia" w:ascii="仿宋" w:hAnsi="仿宋" w:eastAsia="仿宋" w:cs="仿宋"/>
          <w:sz w:val="28"/>
          <w:szCs w:val="28"/>
        </w:rPr>
        <w:t>。</w:t>
      </w:r>
    </w:p>
    <w:p>
      <w:pPr>
        <w:pStyle w:val="2"/>
        <w:jc w:val="center"/>
      </w:pPr>
      <w:r>
        <w:drawing>
          <wp:inline distT="0" distB="0" distL="114300" distR="114300">
            <wp:extent cx="3921760" cy="3123565"/>
            <wp:effectExtent l="0" t="0" r="10160" b="635"/>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
                    <pic:cNvPicPr>
                      <a:picLocks noChangeAspect="1"/>
                    </pic:cNvPicPr>
                  </pic:nvPicPr>
                  <pic:blipFill>
                    <a:blip r:embed="rId7"/>
                    <a:stretch>
                      <a:fillRect/>
                    </a:stretch>
                  </pic:blipFill>
                  <pic:spPr>
                    <a:xfrm>
                      <a:off x="0" y="0"/>
                      <a:ext cx="3921760" cy="3123565"/>
                    </a:xfrm>
                    <a:prstGeom prst="rect">
                      <a:avLst/>
                    </a:prstGeom>
                  </pic:spPr>
                </pic:pic>
              </a:graphicData>
            </a:graphic>
          </wp:inline>
        </w:drawing>
      </w:r>
    </w:p>
    <w:p>
      <w:pPr>
        <w:pStyle w:val="5"/>
        <w:adjustRightInd w:val="0"/>
        <w:snapToGrid w:val="0"/>
        <w:spacing w:before="156" w:beforeLines="50" w:line="300" w:lineRule="auto"/>
        <w:jc w:val="center"/>
        <w:rPr>
          <w:rFonts w:ascii="Times New Roman" w:hAnsi="Times New Roman" w:cs="Times New Roman"/>
          <w:bCs/>
          <w:color w:val="000000"/>
          <w:kern w:val="0"/>
          <w:sz w:val="24"/>
          <w:szCs w:val="24"/>
        </w:rPr>
      </w:pPr>
      <w:r>
        <w:rPr>
          <w:rFonts w:hint="eastAsia" w:ascii="Times New Roman" w:hAnsi="Times New Roman" w:cs="Times New Roman"/>
          <w:bCs/>
          <w:color w:val="000000"/>
          <w:kern w:val="0"/>
          <w:sz w:val="24"/>
          <w:szCs w:val="24"/>
        </w:rPr>
        <w:t>图5 公路工程标准体系图</w:t>
      </w:r>
    </w:p>
    <w:p>
      <w:pPr>
        <w:adjustRightInd w:val="0"/>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本指南为推荐性标准，不涉及有关现行法律、法规和其他强制性标准。本指南为新编标准，暂无相关国家标准与行业标准。</w:t>
      </w:r>
    </w:p>
    <w:p>
      <w:pPr>
        <w:adjustRightInd w:val="0"/>
        <w:snapToGrid w:val="0"/>
        <w:spacing w:line="360" w:lineRule="auto"/>
        <w:ind w:firstLine="560" w:firstLineChars="200"/>
        <w:rPr>
          <w:rFonts w:hint="eastAsia" w:ascii="仿宋" w:hAnsi="仿宋" w:eastAsia="仿宋" w:cs="仿宋"/>
          <w:sz w:val="22"/>
          <w:szCs w:val="28"/>
        </w:rPr>
      </w:pPr>
      <w:r>
        <w:rPr>
          <w:rFonts w:hint="eastAsia" w:ascii="仿宋" w:hAnsi="仿宋" w:eastAsia="仿宋" w:cs="仿宋"/>
          <w:sz w:val="28"/>
          <w:szCs w:val="28"/>
        </w:rPr>
        <w:t>本指南要求符合《江苏省“十四五”智慧交通发展规划》中“加快智慧公路建设”内容要求，推进“到2035年，实现新建、改扩建高速公路和普通国省道公路同步开展智慧公路建设”实施路径。标准制定工作满足规划“保障措施”中“完善标准规范”要求，加快重点领域标准研制，提出智慧公路、智慧航道等智慧交通技术指南，形成一批地方标准，并争取上升为国家/行业标准，以江苏经验带动行业整体发展。</w:t>
      </w:r>
    </w:p>
    <w:p>
      <w:pPr>
        <w:pStyle w:val="3"/>
        <w:spacing w:before="100" w:after="100"/>
        <w:rPr>
          <w:rFonts w:ascii="黑体" w:hAnsi="黑体" w:eastAsia="黑体" w:cs="黑体"/>
          <w:sz w:val="36"/>
          <w:szCs w:val="36"/>
        </w:rPr>
      </w:pPr>
      <w:bookmarkStart w:id="10" w:name="_Toc19572"/>
      <w:r>
        <w:rPr>
          <w:rFonts w:hint="eastAsia" w:ascii="黑体" w:hAnsi="黑体" w:eastAsia="黑体" w:cs="黑体"/>
          <w:sz w:val="36"/>
          <w:szCs w:val="36"/>
          <w:lang w:val="en-US" w:eastAsia="zh-CN"/>
        </w:rPr>
        <w:t>七</w:t>
      </w:r>
      <w:r>
        <w:rPr>
          <w:rFonts w:hint="eastAsia" w:ascii="黑体" w:hAnsi="黑体" w:eastAsia="黑体" w:cs="黑体"/>
          <w:sz w:val="36"/>
          <w:szCs w:val="36"/>
        </w:rPr>
        <w:t>、实施推广建议</w:t>
      </w:r>
      <w:bookmarkEnd w:id="10"/>
    </w:p>
    <w:p>
      <w:pPr>
        <w:snapToGrid w:val="0"/>
        <w:spacing w:line="360" w:lineRule="auto"/>
        <w:ind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rPr>
        <w:t>（1）加强标准在各单位的应用，推进标准实施</w:t>
      </w:r>
    </w:p>
    <w:p>
      <w:pPr>
        <w:adjustRightInd w:val="0"/>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建议省内各高速公路建设中，根据项目建设内容及规模，积极采用本标准，将本标准作为智慧工地建设的作业指导书，也可将本标准作为业主单位工程招标和建设管理的参照标准。本标准为第一次制定并与现行标准无冲突，建议颁布后一个月内实施。</w:t>
      </w:r>
    </w:p>
    <w:p>
      <w:pPr>
        <w:snapToGrid w:val="0"/>
        <w:spacing w:line="360" w:lineRule="auto"/>
        <w:ind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rPr>
        <w:t>（2）加大标准宣贯力度，扩大宣贯范围</w:t>
      </w:r>
    </w:p>
    <w:p>
      <w:pPr>
        <w:adjustRightInd w:val="0"/>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从管理单位到施工单位，从主管部门、行业专家到道路行业从业人员，建立立体化、形式多样、广泛的宣贯网络，使标准宣贯具体到每一个岗位，深入到每一个层次。标准的宣贯工作不仅包括标准文本本身，还应包括标准的编制说明，使得标准使用者不仅了解标准文本中规定的内容，还了解本标准编制说明中对于标准制定背景、制定依据等内容，以利于标准的贯彻执行。</w:t>
      </w:r>
    </w:p>
    <w:p>
      <w:pPr>
        <w:adjustRightInd w:val="0"/>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（3）做好信息反馈和适用性评价，提高标准实施效果</w:t>
      </w:r>
    </w:p>
    <w:p>
      <w:pPr>
        <w:adjustRightInd w:val="0"/>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标准宣贯实施过程中，要注重将标准的宣贯工作落实到实际中。在本标准宣贯后，要时刻跟踪本标准在各单位运用的实施情况，记录标准在实际应用中的具体效果，对于实用性不强、适用性差的条款要及时反馈到相关行业管理部门，以便采取相应的措施。</w:t>
      </w:r>
    </w:p>
    <w:p>
      <w:pPr>
        <w:pStyle w:val="3"/>
        <w:spacing w:before="100" w:after="100"/>
        <w:rPr>
          <w:rFonts w:hint="eastAsia" w:ascii="黑体" w:hAnsi="黑体" w:eastAsia="黑体" w:cs="黑体"/>
          <w:sz w:val="36"/>
          <w:szCs w:val="36"/>
          <w:lang w:val="en-US"/>
        </w:rPr>
      </w:pPr>
      <w:bookmarkStart w:id="11" w:name="_Toc167866658"/>
      <w:r>
        <w:rPr>
          <w:rFonts w:hint="eastAsia" w:ascii="黑体" w:hAnsi="黑体" w:eastAsia="黑体" w:cs="黑体"/>
          <w:sz w:val="36"/>
          <w:szCs w:val="36"/>
          <w:lang w:val="en-US" w:eastAsia="zh-CN"/>
        </w:rPr>
        <w:t>八</w:t>
      </w:r>
      <w:r>
        <w:rPr>
          <w:rFonts w:hint="eastAsia" w:ascii="黑体" w:hAnsi="黑体" w:eastAsia="黑体" w:cs="黑体"/>
          <w:sz w:val="36"/>
          <w:szCs w:val="36"/>
          <w:lang w:val="en-US"/>
        </w:rPr>
        <w:t>、起草单位和起草人员信息及分工</w:t>
      </w:r>
      <w:bookmarkEnd w:id="11"/>
    </w:p>
    <w:p>
      <w:pPr>
        <w:adjustRightInd w:val="0"/>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本</w:t>
      </w:r>
      <w:r>
        <w:rPr>
          <w:rFonts w:hint="eastAsia" w:ascii="仿宋" w:hAnsi="仿宋" w:eastAsia="仿宋" w:cs="仿宋"/>
          <w:sz w:val="28"/>
          <w:szCs w:val="28"/>
          <w:lang w:val="en-US" w:eastAsia="zh-CN"/>
        </w:rPr>
        <w:t>标准</w:t>
      </w:r>
      <w:r>
        <w:rPr>
          <w:rFonts w:hint="eastAsia" w:ascii="仿宋" w:hAnsi="仿宋" w:eastAsia="仿宋" w:cs="仿宋"/>
          <w:sz w:val="28"/>
          <w:szCs w:val="28"/>
        </w:rPr>
        <w:t>起草单位：江苏省交通工程建设局、江苏中路工程技术研究院有限公司、华设设计集团股份有限公司、南京飞搏智能交通技术有限公司、江苏中路信息科技有限公司。</w:t>
      </w:r>
    </w:p>
    <w:p>
      <w:pPr>
        <w:adjustRightInd w:val="0"/>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本</w:t>
      </w:r>
      <w:r>
        <w:rPr>
          <w:rFonts w:hint="eastAsia" w:ascii="仿宋" w:hAnsi="仿宋" w:eastAsia="仿宋" w:cs="仿宋"/>
          <w:sz w:val="28"/>
          <w:szCs w:val="28"/>
          <w:lang w:val="en-US" w:eastAsia="zh-CN"/>
        </w:rPr>
        <w:t>标准</w:t>
      </w:r>
      <w:r>
        <w:rPr>
          <w:rFonts w:hint="eastAsia" w:ascii="仿宋" w:hAnsi="仿宋" w:eastAsia="仿宋" w:cs="仿宋"/>
          <w:sz w:val="28"/>
          <w:szCs w:val="28"/>
        </w:rPr>
        <w:t>主要起草人：蒋振雄、周进、张志祥、潘卫育、吴永生、</w:t>
      </w:r>
      <w:r>
        <w:rPr>
          <w:rFonts w:hint="eastAsia" w:ascii="仿宋" w:hAnsi="仿宋" w:eastAsia="仿宋" w:cs="仿宋"/>
          <w:sz w:val="28"/>
          <w:szCs w:val="28"/>
          <w:lang w:val="en-US" w:eastAsia="zh-CN"/>
        </w:rPr>
        <w:t>刘朝晖、相阳、</w:t>
      </w:r>
      <w:r>
        <w:rPr>
          <w:rFonts w:hint="eastAsia" w:ascii="仿宋" w:hAnsi="仿宋" w:eastAsia="仿宋" w:cs="仿宋"/>
          <w:sz w:val="28"/>
          <w:szCs w:val="28"/>
        </w:rPr>
        <w:t>杨光昊、刘强、唐建亚、张韩帅、孙雪伟、何文政、顾春旺、徐慧</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郑建、吕阳</w:t>
      </w:r>
      <w:r>
        <w:rPr>
          <w:rFonts w:hint="eastAsia" w:ascii="仿宋" w:hAnsi="仿宋" w:eastAsia="仿宋" w:cs="仿宋"/>
          <w:sz w:val="28"/>
          <w:szCs w:val="28"/>
        </w:rPr>
        <w:t>。</w:t>
      </w:r>
    </w:p>
    <w:tbl>
      <w:tblPr>
        <w:tblStyle w:val="1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17"/>
        <w:gridCol w:w="3077"/>
        <w:gridCol w:w="1306"/>
        <w:gridCol w:w="21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1183" w:type="pct"/>
            <w:tcBorders>
              <w:top w:val="single" w:color="auto" w:sz="4" w:space="0"/>
              <w:left w:val="single" w:color="auto" w:sz="4" w:space="0"/>
              <w:bottom w:val="single" w:color="auto" w:sz="4" w:space="0"/>
              <w:right w:val="single" w:color="auto" w:sz="4" w:space="0"/>
            </w:tcBorders>
            <w:noWrap/>
            <w:vAlign w:val="center"/>
          </w:tcPr>
          <w:p>
            <w:pPr>
              <w:widowControl/>
              <w:jc w:val="center"/>
              <w:rPr>
                <w:rFonts w:eastAsia="仿宋"/>
                <w:color w:val="000000"/>
                <w:kern w:val="0"/>
                <w:szCs w:val="21"/>
              </w:rPr>
            </w:pPr>
            <w:r>
              <w:rPr>
                <w:rFonts w:eastAsia="仿宋"/>
                <w:b/>
                <w:bCs/>
                <w:szCs w:val="21"/>
              </w:rPr>
              <w:t>一级章节</w:t>
            </w:r>
          </w:p>
        </w:tc>
        <w:tc>
          <w:tcPr>
            <w:tcW w:w="1805"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仿宋"/>
                <w:b/>
                <w:bCs/>
                <w:szCs w:val="21"/>
              </w:rPr>
            </w:pPr>
            <w:r>
              <w:rPr>
                <w:rFonts w:eastAsia="仿宋"/>
                <w:b/>
                <w:bCs/>
                <w:szCs w:val="21"/>
              </w:rPr>
              <w:t>二级章节</w:t>
            </w:r>
          </w:p>
        </w:tc>
        <w:tc>
          <w:tcPr>
            <w:tcW w:w="766"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仿宋"/>
                <w:b/>
                <w:bCs/>
                <w:szCs w:val="21"/>
              </w:rPr>
            </w:pPr>
            <w:r>
              <w:rPr>
                <w:rFonts w:eastAsia="仿宋"/>
                <w:b/>
                <w:bCs/>
                <w:szCs w:val="21"/>
              </w:rPr>
              <w:t>组长</w:t>
            </w:r>
          </w:p>
        </w:tc>
        <w:tc>
          <w:tcPr>
            <w:tcW w:w="1245"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仿宋"/>
                <w:b/>
                <w:bCs/>
                <w:szCs w:val="21"/>
              </w:rPr>
            </w:pPr>
            <w:r>
              <w:rPr>
                <w:rFonts w:eastAsia="仿宋"/>
                <w:b/>
                <w:bCs/>
                <w:szCs w:val="21"/>
              </w:rPr>
              <w:t>成员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1183" w:type="pct"/>
            <w:tcBorders>
              <w:top w:val="single" w:color="auto" w:sz="4" w:space="0"/>
              <w:left w:val="single" w:color="auto" w:sz="4" w:space="0"/>
              <w:bottom w:val="single" w:color="auto" w:sz="4" w:space="0"/>
              <w:right w:val="single" w:color="auto" w:sz="4" w:space="0"/>
            </w:tcBorders>
            <w:noWrap/>
            <w:vAlign w:val="center"/>
          </w:tcPr>
          <w:p>
            <w:pPr>
              <w:widowControl/>
              <w:rPr>
                <w:rFonts w:eastAsia="仿宋"/>
                <w:color w:val="000000"/>
                <w:kern w:val="0"/>
                <w:szCs w:val="21"/>
              </w:rPr>
            </w:pPr>
            <w:r>
              <w:rPr>
                <w:rFonts w:eastAsia="仿宋"/>
                <w:color w:val="000000"/>
                <w:kern w:val="0"/>
                <w:szCs w:val="21"/>
              </w:rPr>
              <w:t>1 范围</w:t>
            </w:r>
          </w:p>
        </w:tc>
        <w:tc>
          <w:tcPr>
            <w:tcW w:w="1805" w:type="pct"/>
            <w:tcBorders>
              <w:top w:val="single" w:color="auto" w:sz="4" w:space="0"/>
              <w:left w:val="single" w:color="auto" w:sz="4" w:space="0"/>
              <w:bottom w:val="single" w:color="auto" w:sz="4" w:space="0"/>
              <w:right w:val="single" w:color="auto" w:sz="4" w:space="0"/>
            </w:tcBorders>
            <w:noWrap w:val="0"/>
            <w:vAlign w:val="center"/>
          </w:tcPr>
          <w:p>
            <w:pPr>
              <w:widowControl/>
              <w:rPr>
                <w:rFonts w:eastAsia="仿宋"/>
                <w:color w:val="000000"/>
                <w:kern w:val="0"/>
                <w:szCs w:val="21"/>
              </w:rPr>
            </w:pPr>
            <w:r>
              <w:rPr>
                <w:rFonts w:eastAsia="仿宋"/>
                <w:color w:val="000000"/>
                <w:kern w:val="0"/>
                <w:szCs w:val="21"/>
              </w:rPr>
              <w:t>-</w:t>
            </w:r>
          </w:p>
        </w:tc>
        <w:tc>
          <w:tcPr>
            <w:tcW w:w="766" w:type="pct"/>
            <w:vMerge w:val="restart"/>
            <w:tcBorders>
              <w:top w:val="single" w:color="auto" w:sz="4" w:space="0"/>
              <w:left w:val="single" w:color="auto" w:sz="4" w:space="0"/>
              <w:right w:val="single" w:color="auto" w:sz="4" w:space="0"/>
            </w:tcBorders>
            <w:noWrap w:val="0"/>
            <w:vAlign w:val="center"/>
          </w:tcPr>
          <w:p>
            <w:pPr>
              <w:widowControl/>
              <w:jc w:val="center"/>
              <w:rPr>
                <w:rFonts w:hint="default" w:eastAsia="仿宋"/>
                <w:color w:val="000000"/>
                <w:kern w:val="0"/>
                <w:szCs w:val="21"/>
                <w:lang w:val="en-US" w:eastAsia="zh-CN"/>
              </w:rPr>
            </w:pPr>
            <w:r>
              <w:rPr>
                <w:rFonts w:hint="eastAsia" w:eastAsia="仿宋"/>
                <w:color w:val="000000"/>
                <w:kern w:val="0"/>
                <w:szCs w:val="21"/>
                <w:lang w:val="en-US" w:eastAsia="zh-CN"/>
              </w:rPr>
              <w:t>蒋振雄</w:t>
            </w:r>
          </w:p>
        </w:tc>
        <w:tc>
          <w:tcPr>
            <w:tcW w:w="1245" w:type="pct"/>
            <w:vMerge w:val="restart"/>
            <w:tcBorders>
              <w:top w:val="single" w:color="auto" w:sz="4" w:space="0"/>
              <w:left w:val="single" w:color="auto" w:sz="4" w:space="0"/>
              <w:right w:val="single" w:color="auto" w:sz="4" w:space="0"/>
            </w:tcBorders>
            <w:noWrap w:val="0"/>
            <w:vAlign w:val="center"/>
          </w:tcPr>
          <w:p>
            <w:pPr>
              <w:widowControl/>
              <w:jc w:val="center"/>
              <w:rPr>
                <w:rFonts w:hint="eastAsia" w:eastAsia="仿宋"/>
                <w:color w:val="000000"/>
                <w:kern w:val="0"/>
                <w:szCs w:val="21"/>
                <w:lang w:val="en-US" w:eastAsia="zh-CN"/>
              </w:rPr>
            </w:pPr>
            <w:r>
              <w:rPr>
                <w:rFonts w:hint="eastAsia" w:eastAsia="仿宋"/>
                <w:color w:val="000000"/>
                <w:kern w:val="0"/>
                <w:szCs w:val="21"/>
                <w:lang w:val="en-US" w:eastAsia="zh-CN"/>
              </w:rPr>
              <w:t>吴永生</w:t>
            </w:r>
          </w:p>
          <w:p>
            <w:pPr>
              <w:widowControl/>
              <w:jc w:val="center"/>
              <w:rPr>
                <w:rFonts w:eastAsia="仿宋"/>
                <w:color w:val="000000"/>
                <w:kern w:val="0"/>
                <w:szCs w:val="21"/>
              </w:rPr>
            </w:pPr>
            <w:r>
              <w:rPr>
                <w:rFonts w:hint="eastAsia" w:eastAsia="仿宋"/>
                <w:color w:val="000000"/>
                <w:kern w:val="0"/>
                <w:szCs w:val="21"/>
                <w:lang w:val="en-US" w:eastAsia="zh-CN"/>
              </w:rPr>
              <w:t>张韩帅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1183" w:type="pct"/>
            <w:tcBorders>
              <w:top w:val="single" w:color="auto" w:sz="4" w:space="0"/>
              <w:left w:val="single" w:color="auto" w:sz="4" w:space="0"/>
              <w:bottom w:val="single" w:color="auto" w:sz="4" w:space="0"/>
              <w:right w:val="single" w:color="auto" w:sz="4" w:space="0"/>
            </w:tcBorders>
            <w:noWrap/>
            <w:vAlign w:val="center"/>
          </w:tcPr>
          <w:p>
            <w:pPr>
              <w:widowControl/>
              <w:rPr>
                <w:rFonts w:eastAsia="仿宋"/>
                <w:color w:val="000000"/>
                <w:kern w:val="0"/>
                <w:szCs w:val="21"/>
              </w:rPr>
            </w:pPr>
            <w:r>
              <w:rPr>
                <w:rFonts w:eastAsia="仿宋"/>
                <w:color w:val="000000"/>
                <w:kern w:val="0"/>
                <w:szCs w:val="21"/>
              </w:rPr>
              <w:t>2 规范性引用文件</w:t>
            </w:r>
          </w:p>
        </w:tc>
        <w:tc>
          <w:tcPr>
            <w:tcW w:w="1805" w:type="pct"/>
            <w:tcBorders>
              <w:top w:val="single" w:color="auto" w:sz="4" w:space="0"/>
              <w:left w:val="single" w:color="auto" w:sz="4" w:space="0"/>
              <w:bottom w:val="single" w:color="auto" w:sz="4" w:space="0"/>
              <w:right w:val="single" w:color="auto" w:sz="4" w:space="0"/>
            </w:tcBorders>
            <w:noWrap w:val="0"/>
            <w:vAlign w:val="center"/>
          </w:tcPr>
          <w:p>
            <w:pPr>
              <w:widowControl/>
              <w:rPr>
                <w:rFonts w:eastAsia="仿宋"/>
                <w:color w:val="000000"/>
                <w:kern w:val="0"/>
                <w:szCs w:val="21"/>
              </w:rPr>
            </w:pPr>
            <w:r>
              <w:rPr>
                <w:rFonts w:eastAsia="仿宋"/>
                <w:color w:val="000000"/>
                <w:kern w:val="0"/>
                <w:szCs w:val="21"/>
              </w:rPr>
              <w:t>-</w:t>
            </w:r>
          </w:p>
        </w:tc>
        <w:tc>
          <w:tcPr>
            <w:tcW w:w="766" w:type="pct"/>
            <w:vMerge w:val="continue"/>
            <w:tcBorders>
              <w:left w:val="single" w:color="auto" w:sz="4" w:space="0"/>
              <w:right w:val="single" w:color="auto" w:sz="4" w:space="0"/>
            </w:tcBorders>
            <w:noWrap w:val="0"/>
            <w:vAlign w:val="center"/>
          </w:tcPr>
          <w:p>
            <w:pPr>
              <w:widowControl/>
              <w:jc w:val="center"/>
              <w:rPr>
                <w:rFonts w:eastAsia="仿宋"/>
                <w:color w:val="000000"/>
                <w:kern w:val="0"/>
                <w:szCs w:val="21"/>
              </w:rPr>
            </w:pPr>
          </w:p>
        </w:tc>
        <w:tc>
          <w:tcPr>
            <w:tcW w:w="1245" w:type="pct"/>
            <w:vMerge w:val="continue"/>
            <w:tcBorders>
              <w:left w:val="single" w:color="auto" w:sz="4" w:space="0"/>
              <w:right w:val="single" w:color="auto" w:sz="4" w:space="0"/>
            </w:tcBorders>
            <w:noWrap w:val="0"/>
            <w:vAlign w:val="center"/>
          </w:tcPr>
          <w:p>
            <w:pPr>
              <w:widowControl/>
              <w:jc w:val="center"/>
              <w:rPr>
                <w:rFonts w:eastAsia="仿宋"/>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1183" w:type="pct"/>
            <w:tcBorders>
              <w:top w:val="single" w:color="auto" w:sz="4" w:space="0"/>
              <w:left w:val="single" w:color="auto" w:sz="4" w:space="0"/>
              <w:bottom w:val="single" w:color="auto" w:sz="4" w:space="0"/>
              <w:right w:val="single" w:color="auto" w:sz="4" w:space="0"/>
            </w:tcBorders>
            <w:noWrap/>
            <w:vAlign w:val="center"/>
          </w:tcPr>
          <w:p>
            <w:pPr>
              <w:widowControl/>
              <w:rPr>
                <w:rFonts w:eastAsia="仿宋"/>
                <w:color w:val="000000"/>
                <w:kern w:val="0"/>
                <w:szCs w:val="21"/>
              </w:rPr>
            </w:pPr>
            <w:r>
              <w:rPr>
                <w:rFonts w:eastAsia="仿宋"/>
                <w:color w:val="000000"/>
                <w:kern w:val="0"/>
                <w:szCs w:val="21"/>
              </w:rPr>
              <w:t>3 术语和定义</w:t>
            </w:r>
          </w:p>
        </w:tc>
        <w:tc>
          <w:tcPr>
            <w:tcW w:w="1805" w:type="pct"/>
            <w:tcBorders>
              <w:top w:val="single" w:color="auto" w:sz="4" w:space="0"/>
              <w:left w:val="single" w:color="auto" w:sz="4" w:space="0"/>
              <w:bottom w:val="single" w:color="auto" w:sz="4" w:space="0"/>
              <w:right w:val="single" w:color="auto" w:sz="4" w:space="0"/>
            </w:tcBorders>
            <w:noWrap w:val="0"/>
            <w:vAlign w:val="center"/>
          </w:tcPr>
          <w:p>
            <w:pPr>
              <w:widowControl/>
              <w:rPr>
                <w:rFonts w:eastAsia="仿宋"/>
                <w:color w:val="000000"/>
                <w:kern w:val="0"/>
                <w:szCs w:val="21"/>
              </w:rPr>
            </w:pPr>
            <w:r>
              <w:rPr>
                <w:rFonts w:eastAsia="仿宋"/>
                <w:color w:val="000000"/>
                <w:kern w:val="0"/>
                <w:szCs w:val="21"/>
              </w:rPr>
              <w:t>-</w:t>
            </w:r>
          </w:p>
        </w:tc>
        <w:tc>
          <w:tcPr>
            <w:tcW w:w="766" w:type="pct"/>
            <w:vMerge w:val="continue"/>
            <w:tcBorders>
              <w:left w:val="single" w:color="auto" w:sz="4" w:space="0"/>
              <w:right w:val="single" w:color="auto" w:sz="4" w:space="0"/>
            </w:tcBorders>
            <w:noWrap w:val="0"/>
            <w:vAlign w:val="center"/>
          </w:tcPr>
          <w:p>
            <w:pPr>
              <w:widowControl/>
              <w:jc w:val="center"/>
              <w:rPr>
                <w:rFonts w:hint="default" w:eastAsia="仿宋"/>
                <w:color w:val="000000"/>
                <w:kern w:val="0"/>
                <w:szCs w:val="21"/>
                <w:lang w:val="en-US" w:eastAsia="zh-CN"/>
              </w:rPr>
            </w:pPr>
          </w:p>
        </w:tc>
        <w:tc>
          <w:tcPr>
            <w:tcW w:w="1245" w:type="pct"/>
            <w:vMerge w:val="continue"/>
            <w:tcBorders>
              <w:left w:val="single" w:color="auto" w:sz="4" w:space="0"/>
              <w:right w:val="single" w:color="auto" w:sz="4" w:space="0"/>
            </w:tcBorders>
            <w:noWrap w:val="0"/>
            <w:vAlign w:val="center"/>
          </w:tcPr>
          <w:p>
            <w:pPr>
              <w:widowControl/>
              <w:jc w:val="center"/>
              <w:rPr>
                <w:rFonts w:eastAsia="仿宋"/>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 w:hRule="atLeast"/>
          <w:jc w:val="center"/>
        </w:trPr>
        <w:tc>
          <w:tcPr>
            <w:tcW w:w="1183" w:type="pct"/>
            <w:vMerge w:val="restart"/>
            <w:tcBorders>
              <w:top w:val="single" w:color="auto" w:sz="4" w:space="0"/>
              <w:left w:val="single" w:color="auto" w:sz="4" w:space="0"/>
              <w:right w:val="single" w:color="auto" w:sz="4" w:space="0"/>
            </w:tcBorders>
            <w:noWrap/>
            <w:vAlign w:val="center"/>
          </w:tcPr>
          <w:p>
            <w:pPr>
              <w:widowControl/>
              <w:rPr>
                <w:rFonts w:hint="default" w:eastAsia="仿宋"/>
                <w:color w:val="000000"/>
                <w:kern w:val="0"/>
                <w:szCs w:val="21"/>
                <w:lang w:val="en-US" w:eastAsia="zh-CN"/>
              </w:rPr>
            </w:pPr>
            <w:r>
              <w:rPr>
                <w:rFonts w:eastAsia="仿宋"/>
                <w:color w:val="000000"/>
                <w:kern w:val="0"/>
                <w:szCs w:val="21"/>
              </w:rPr>
              <w:t xml:space="preserve">4 </w:t>
            </w:r>
            <w:r>
              <w:rPr>
                <w:rFonts w:hint="eastAsia" w:eastAsia="仿宋"/>
                <w:color w:val="000000"/>
                <w:kern w:val="0"/>
                <w:szCs w:val="21"/>
                <w:lang w:val="en-US" w:eastAsia="zh-CN"/>
              </w:rPr>
              <w:t>基本规定</w:t>
            </w:r>
          </w:p>
        </w:tc>
        <w:tc>
          <w:tcPr>
            <w:tcW w:w="1805" w:type="pct"/>
            <w:tcBorders>
              <w:top w:val="single" w:color="auto" w:sz="4" w:space="0"/>
              <w:left w:val="single" w:color="auto" w:sz="4" w:space="0"/>
              <w:bottom w:val="single" w:color="auto" w:sz="4" w:space="0"/>
              <w:right w:val="single" w:color="auto" w:sz="4" w:space="0"/>
            </w:tcBorders>
            <w:noWrap w:val="0"/>
            <w:vAlign w:val="center"/>
          </w:tcPr>
          <w:p>
            <w:pPr>
              <w:widowControl/>
              <w:rPr>
                <w:rFonts w:hint="default" w:eastAsia="仿宋"/>
                <w:color w:val="000000"/>
                <w:kern w:val="0"/>
                <w:szCs w:val="21"/>
                <w:lang w:val="en-US" w:eastAsia="zh-CN"/>
              </w:rPr>
            </w:pPr>
            <w:r>
              <w:rPr>
                <w:rFonts w:hint="eastAsia" w:eastAsia="仿宋"/>
                <w:color w:val="000000"/>
                <w:kern w:val="0"/>
                <w:szCs w:val="21"/>
                <w:lang w:val="en-US" w:eastAsia="zh-CN"/>
              </w:rPr>
              <w:t>4.1 基本要求</w:t>
            </w:r>
          </w:p>
        </w:tc>
        <w:tc>
          <w:tcPr>
            <w:tcW w:w="766" w:type="pct"/>
            <w:vMerge w:val="continue"/>
            <w:tcBorders>
              <w:left w:val="single" w:color="auto" w:sz="4" w:space="0"/>
              <w:right w:val="single" w:color="auto" w:sz="4" w:space="0"/>
            </w:tcBorders>
            <w:noWrap w:val="0"/>
            <w:vAlign w:val="center"/>
          </w:tcPr>
          <w:p>
            <w:pPr>
              <w:widowControl/>
              <w:jc w:val="center"/>
              <w:rPr>
                <w:rFonts w:eastAsia="仿宋"/>
                <w:color w:val="000000"/>
                <w:kern w:val="0"/>
                <w:szCs w:val="21"/>
              </w:rPr>
            </w:pPr>
          </w:p>
        </w:tc>
        <w:tc>
          <w:tcPr>
            <w:tcW w:w="1245" w:type="pct"/>
            <w:vMerge w:val="continue"/>
            <w:tcBorders>
              <w:left w:val="single" w:color="auto" w:sz="4" w:space="0"/>
              <w:right w:val="single" w:color="auto" w:sz="4" w:space="0"/>
            </w:tcBorders>
            <w:noWrap w:val="0"/>
            <w:vAlign w:val="center"/>
          </w:tcPr>
          <w:p>
            <w:pPr>
              <w:widowControl/>
              <w:jc w:val="center"/>
              <w:rPr>
                <w:rFonts w:eastAsia="仿宋"/>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 w:hRule="atLeast"/>
          <w:jc w:val="center"/>
        </w:trPr>
        <w:tc>
          <w:tcPr>
            <w:tcW w:w="1183" w:type="pct"/>
            <w:vMerge w:val="continue"/>
            <w:tcBorders>
              <w:left w:val="single" w:color="auto" w:sz="4" w:space="0"/>
              <w:right w:val="single" w:color="auto" w:sz="4" w:space="0"/>
            </w:tcBorders>
            <w:noWrap/>
            <w:vAlign w:val="center"/>
          </w:tcPr>
          <w:p>
            <w:pPr>
              <w:widowControl/>
            </w:pPr>
          </w:p>
        </w:tc>
        <w:tc>
          <w:tcPr>
            <w:tcW w:w="1805" w:type="pct"/>
            <w:tcBorders>
              <w:top w:val="single" w:color="auto" w:sz="4" w:space="0"/>
              <w:left w:val="single" w:color="auto" w:sz="4" w:space="0"/>
              <w:bottom w:val="single" w:color="auto" w:sz="4" w:space="0"/>
              <w:right w:val="single" w:color="auto" w:sz="4" w:space="0"/>
            </w:tcBorders>
            <w:noWrap w:val="0"/>
            <w:vAlign w:val="center"/>
          </w:tcPr>
          <w:p>
            <w:pPr>
              <w:widowControl/>
              <w:rPr>
                <w:rFonts w:hint="default" w:eastAsia="仿宋"/>
                <w:color w:val="000000"/>
                <w:kern w:val="0"/>
                <w:szCs w:val="21"/>
                <w:lang w:val="en-US" w:eastAsia="zh-CN"/>
              </w:rPr>
            </w:pPr>
            <w:r>
              <w:rPr>
                <w:rFonts w:hint="eastAsia" w:eastAsia="仿宋"/>
                <w:color w:val="000000"/>
                <w:kern w:val="0"/>
                <w:szCs w:val="21"/>
                <w:lang w:val="en-US" w:eastAsia="zh-CN"/>
              </w:rPr>
              <w:t>4.2 系统架构</w:t>
            </w:r>
          </w:p>
        </w:tc>
        <w:tc>
          <w:tcPr>
            <w:tcW w:w="766" w:type="pct"/>
            <w:vMerge w:val="continue"/>
            <w:tcBorders>
              <w:left w:val="single" w:color="auto" w:sz="4" w:space="0"/>
              <w:right w:val="single" w:color="auto" w:sz="4" w:space="0"/>
            </w:tcBorders>
            <w:noWrap w:val="0"/>
            <w:vAlign w:val="center"/>
          </w:tcPr>
          <w:p>
            <w:pPr>
              <w:widowControl/>
              <w:jc w:val="center"/>
              <w:rPr>
                <w:rFonts w:eastAsia="仿宋"/>
                <w:color w:val="000000"/>
                <w:kern w:val="0"/>
                <w:szCs w:val="21"/>
              </w:rPr>
            </w:pPr>
          </w:p>
        </w:tc>
        <w:tc>
          <w:tcPr>
            <w:tcW w:w="1245" w:type="pct"/>
            <w:vMerge w:val="continue"/>
            <w:tcBorders>
              <w:left w:val="single" w:color="auto" w:sz="4" w:space="0"/>
              <w:right w:val="single" w:color="auto" w:sz="4" w:space="0"/>
            </w:tcBorders>
            <w:noWrap w:val="0"/>
            <w:vAlign w:val="center"/>
          </w:tcPr>
          <w:p>
            <w:pPr>
              <w:widowControl/>
              <w:jc w:val="center"/>
              <w:rPr>
                <w:rFonts w:eastAsia="仿宋"/>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 w:hRule="atLeast"/>
          <w:jc w:val="center"/>
        </w:trPr>
        <w:tc>
          <w:tcPr>
            <w:tcW w:w="1183" w:type="pct"/>
            <w:vMerge w:val="continue"/>
            <w:tcBorders>
              <w:left w:val="single" w:color="auto" w:sz="4" w:space="0"/>
              <w:right w:val="single" w:color="auto" w:sz="4" w:space="0"/>
            </w:tcBorders>
            <w:noWrap/>
            <w:vAlign w:val="center"/>
          </w:tcPr>
          <w:p>
            <w:pPr>
              <w:widowControl/>
              <w:rPr>
                <w:rFonts w:eastAsia="仿宋"/>
                <w:color w:val="000000"/>
                <w:kern w:val="0"/>
                <w:szCs w:val="21"/>
              </w:rPr>
            </w:pPr>
          </w:p>
        </w:tc>
        <w:tc>
          <w:tcPr>
            <w:tcW w:w="1805" w:type="pct"/>
            <w:tcBorders>
              <w:top w:val="single" w:color="auto" w:sz="4" w:space="0"/>
              <w:left w:val="single" w:color="auto" w:sz="4" w:space="0"/>
              <w:bottom w:val="single" w:color="auto" w:sz="4" w:space="0"/>
              <w:right w:val="single" w:color="auto" w:sz="4" w:space="0"/>
            </w:tcBorders>
            <w:noWrap w:val="0"/>
            <w:vAlign w:val="center"/>
          </w:tcPr>
          <w:p>
            <w:pPr>
              <w:widowControl/>
              <w:rPr>
                <w:rFonts w:hint="default" w:eastAsia="仿宋"/>
                <w:color w:val="000000"/>
                <w:kern w:val="0"/>
                <w:szCs w:val="21"/>
                <w:lang w:val="en-US" w:eastAsia="zh-CN"/>
              </w:rPr>
            </w:pPr>
            <w:r>
              <w:rPr>
                <w:rFonts w:hint="eastAsia" w:eastAsia="仿宋"/>
                <w:color w:val="000000"/>
                <w:kern w:val="0"/>
                <w:szCs w:val="21"/>
                <w:lang w:val="en-US" w:eastAsia="zh-CN"/>
              </w:rPr>
              <w:t>4.3 系统功能</w:t>
            </w:r>
          </w:p>
        </w:tc>
        <w:tc>
          <w:tcPr>
            <w:tcW w:w="766" w:type="pct"/>
            <w:vMerge w:val="continue"/>
            <w:tcBorders>
              <w:left w:val="single" w:color="auto" w:sz="4" w:space="0"/>
              <w:right w:val="single" w:color="auto" w:sz="4" w:space="0"/>
            </w:tcBorders>
            <w:noWrap w:val="0"/>
            <w:vAlign w:val="center"/>
          </w:tcPr>
          <w:p>
            <w:pPr>
              <w:widowControl/>
              <w:jc w:val="center"/>
              <w:rPr>
                <w:rFonts w:eastAsia="仿宋"/>
                <w:color w:val="000000"/>
                <w:kern w:val="0"/>
                <w:szCs w:val="21"/>
              </w:rPr>
            </w:pPr>
          </w:p>
        </w:tc>
        <w:tc>
          <w:tcPr>
            <w:tcW w:w="1245" w:type="pct"/>
            <w:vMerge w:val="continue"/>
            <w:tcBorders>
              <w:left w:val="single" w:color="auto" w:sz="4" w:space="0"/>
              <w:right w:val="single" w:color="auto" w:sz="4" w:space="0"/>
            </w:tcBorders>
            <w:noWrap w:val="0"/>
            <w:vAlign w:val="center"/>
          </w:tcPr>
          <w:p>
            <w:pPr>
              <w:widowControl/>
              <w:jc w:val="center"/>
              <w:rPr>
                <w:rFonts w:eastAsia="仿宋"/>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183" w:type="pct"/>
            <w:vMerge w:val="continue"/>
            <w:tcBorders>
              <w:left w:val="single" w:color="auto" w:sz="4" w:space="0"/>
              <w:right w:val="single" w:color="auto" w:sz="4" w:space="0"/>
            </w:tcBorders>
            <w:noWrap/>
            <w:vAlign w:val="center"/>
          </w:tcPr>
          <w:p>
            <w:pPr>
              <w:widowControl/>
              <w:rPr>
                <w:rFonts w:eastAsia="仿宋"/>
                <w:color w:val="000000"/>
                <w:kern w:val="0"/>
                <w:szCs w:val="21"/>
              </w:rPr>
            </w:pPr>
          </w:p>
        </w:tc>
        <w:tc>
          <w:tcPr>
            <w:tcW w:w="1805" w:type="pct"/>
            <w:tcBorders>
              <w:top w:val="single" w:color="auto" w:sz="4" w:space="0"/>
              <w:left w:val="single" w:color="auto" w:sz="4" w:space="0"/>
              <w:bottom w:val="single" w:color="auto" w:sz="4" w:space="0"/>
              <w:right w:val="single" w:color="auto" w:sz="4" w:space="0"/>
            </w:tcBorders>
            <w:noWrap w:val="0"/>
            <w:vAlign w:val="center"/>
          </w:tcPr>
          <w:p>
            <w:pPr>
              <w:widowControl/>
              <w:rPr>
                <w:rFonts w:hint="default" w:eastAsia="仿宋"/>
                <w:color w:val="000000"/>
                <w:kern w:val="0"/>
                <w:szCs w:val="21"/>
                <w:lang w:val="en-US" w:eastAsia="zh-CN"/>
              </w:rPr>
            </w:pPr>
            <w:r>
              <w:rPr>
                <w:rFonts w:hint="eastAsia" w:eastAsia="仿宋"/>
                <w:color w:val="000000"/>
                <w:kern w:val="0"/>
                <w:szCs w:val="21"/>
                <w:lang w:val="en-US" w:eastAsia="zh-CN"/>
              </w:rPr>
              <w:t>4.4 使用场景</w:t>
            </w:r>
          </w:p>
        </w:tc>
        <w:tc>
          <w:tcPr>
            <w:tcW w:w="766" w:type="pct"/>
            <w:vMerge w:val="continue"/>
            <w:tcBorders>
              <w:left w:val="single" w:color="auto" w:sz="4" w:space="0"/>
              <w:right w:val="single" w:color="auto" w:sz="4" w:space="0"/>
            </w:tcBorders>
            <w:noWrap w:val="0"/>
            <w:vAlign w:val="center"/>
          </w:tcPr>
          <w:p>
            <w:pPr>
              <w:widowControl/>
              <w:jc w:val="center"/>
              <w:rPr>
                <w:rFonts w:eastAsia="仿宋"/>
                <w:color w:val="000000"/>
                <w:kern w:val="0"/>
                <w:szCs w:val="21"/>
              </w:rPr>
            </w:pPr>
          </w:p>
        </w:tc>
        <w:tc>
          <w:tcPr>
            <w:tcW w:w="1245" w:type="pct"/>
            <w:vMerge w:val="continue"/>
            <w:tcBorders>
              <w:left w:val="single" w:color="auto" w:sz="4" w:space="0"/>
              <w:right w:val="single" w:color="auto" w:sz="4" w:space="0"/>
            </w:tcBorders>
            <w:noWrap w:val="0"/>
            <w:vAlign w:val="center"/>
          </w:tcPr>
          <w:p>
            <w:pPr>
              <w:widowControl/>
              <w:jc w:val="center"/>
              <w:rPr>
                <w:rFonts w:eastAsia="仿宋"/>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 w:hRule="atLeast"/>
          <w:jc w:val="center"/>
        </w:trPr>
        <w:tc>
          <w:tcPr>
            <w:tcW w:w="1183" w:type="pct"/>
            <w:vMerge w:val="restart"/>
            <w:tcBorders>
              <w:top w:val="single" w:color="auto" w:sz="4" w:space="0"/>
              <w:left w:val="single" w:color="auto" w:sz="4" w:space="0"/>
              <w:right w:val="single" w:color="auto" w:sz="4" w:space="0"/>
            </w:tcBorders>
            <w:noWrap/>
            <w:vAlign w:val="center"/>
          </w:tcPr>
          <w:p>
            <w:pPr>
              <w:widowControl/>
              <w:rPr>
                <w:rFonts w:hint="default" w:eastAsia="仿宋"/>
                <w:color w:val="000000"/>
                <w:kern w:val="0"/>
                <w:szCs w:val="21"/>
                <w:lang w:val="en-US" w:eastAsia="zh-CN"/>
              </w:rPr>
            </w:pPr>
            <w:r>
              <w:rPr>
                <w:rFonts w:eastAsia="仿宋"/>
                <w:color w:val="000000"/>
                <w:kern w:val="0"/>
                <w:szCs w:val="21"/>
              </w:rPr>
              <w:t xml:space="preserve">5 </w:t>
            </w:r>
            <w:r>
              <w:rPr>
                <w:rFonts w:hint="eastAsia" w:eastAsia="仿宋"/>
                <w:color w:val="000000"/>
                <w:kern w:val="0"/>
                <w:szCs w:val="21"/>
                <w:lang w:val="en-US" w:eastAsia="zh-CN"/>
              </w:rPr>
              <w:t>综合管理模块</w:t>
            </w:r>
          </w:p>
        </w:tc>
        <w:tc>
          <w:tcPr>
            <w:tcW w:w="1805" w:type="pct"/>
            <w:tcBorders>
              <w:top w:val="single" w:color="auto" w:sz="4" w:space="0"/>
              <w:left w:val="single" w:color="auto" w:sz="4" w:space="0"/>
              <w:bottom w:val="single" w:color="auto" w:sz="4" w:space="0"/>
              <w:right w:val="single" w:color="auto" w:sz="4" w:space="0"/>
            </w:tcBorders>
            <w:noWrap w:val="0"/>
            <w:vAlign w:val="center"/>
          </w:tcPr>
          <w:p>
            <w:pPr>
              <w:widowControl/>
              <w:rPr>
                <w:rFonts w:hint="default" w:eastAsia="仿宋"/>
                <w:color w:val="000000"/>
                <w:kern w:val="0"/>
                <w:szCs w:val="21"/>
                <w:lang w:val="en-US" w:eastAsia="zh-CN"/>
              </w:rPr>
            </w:pPr>
            <w:r>
              <w:rPr>
                <w:rFonts w:hint="eastAsia" w:eastAsia="仿宋"/>
                <w:color w:val="000000"/>
                <w:kern w:val="0"/>
                <w:szCs w:val="21"/>
                <w:lang w:val="en-US" w:eastAsia="zh-CN"/>
              </w:rPr>
              <w:t>5.1 一般规定</w:t>
            </w:r>
          </w:p>
        </w:tc>
        <w:tc>
          <w:tcPr>
            <w:tcW w:w="766" w:type="pct"/>
            <w:vMerge w:val="restart"/>
            <w:tcBorders>
              <w:left w:val="single" w:color="auto" w:sz="4" w:space="0"/>
              <w:right w:val="single" w:color="auto" w:sz="4" w:space="0"/>
            </w:tcBorders>
            <w:noWrap w:val="0"/>
            <w:vAlign w:val="center"/>
          </w:tcPr>
          <w:p>
            <w:pPr>
              <w:widowControl/>
              <w:jc w:val="center"/>
              <w:rPr>
                <w:rFonts w:eastAsia="仿宋"/>
                <w:color w:val="000000"/>
                <w:kern w:val="0"/>
                <w:szCs w:val="21"/>
              </w:rPr>
            </w:pPr>
            <w:r>
              <w:rPr>
                <w:rFonts w:hint="eastAsia" w:eastAsia="仿宋"/>
                <w:color w:val="000000"/>
                <w:kern w:val="0"/>
                <w:szCs w:val="21"/>
                <w:lang w:val="en-US" w:eastAsia="zh-CN"/>
              </w:rPr>
              <w:t>周 进</w:t>
            </w:r>
          </w:p>
        </w:tc>
        <w:tc>
          <w:tcPr>
            <w:tcW w:w="1245" w:type="pct"/>
            <w:vMerge w:val="restart"/>
            <w:tcBorders>
              <w:left w:val="single" w:color="auto" w:sz="4" w:space="0"/>
              <w:right w:val="single" w:color="auto" w:sz="4" w:space="0"/>
            </w:tcBorders>
            <w:noWrap w:val="0"/>
            <w:vAlign w:val="center"/>
          </w:tcPr>
          <w:p>
            <w:pPr>
              <w:widowControl/>
              <w:jc w:val="center"/>
              <w:rPr>
                <w:rFonts w:hint="eastAsia" w:eastAsia="仿宋"/>
                <w:color w:val="000000"/>
                <w:kern w:val="0"/>
                <w:szCs w:val="21"/>
                <w:lang w:val="en-US" w:eastAsia="zh-CN"/>
              </w:rPr>
            </w:pPr>
            <w:r>
              <w:rPr>
                <w:rFonts w:hint="eastAsia" w:eastAsia="仿宋"/>
                <w:color w:val="000000"/>
                <w:kern w:val="0"/>
                <w:szCs w:val="21"/>
                <w:lang w:val="en-US" w:eastAsia="zh-CN"/>
              </w:rPr>
              <w:t>相 阳</w:t>
            </w:r>
          </w:p>
          <w:p>
            <w:pPr>
              <w:widowControl/>
              <w:jc w:val="center"/>
              <w:rPr>
                <w:rFonts w:hint="eastAsia" w:eastAsia="仿宋"/>
                <w:color w:val="000000"/>
                <w:kern w:val="0"/>
                <w:szCs w:val="21"/>
                <w:lang w:val="en-US" w:eastAsia="zh-CN"/>
              </w:rPr>
            </w:pPr>
            <w:r>
              <w:rPr>
                <w:rFonts w:hint="eastAsia" w:eastAsia="仿宋"/>
                <w:color w:val="000000"/>
                <w:kern w:val="0"/>
                <w:szCs w:val="21"/>
                <w:lang w:val="en-US" w:eastAsia="zh-CN"/>
              </w:rPr>
              <w:t>杨光昊</w:t>
            </w:r>
          </w:p>
          <w:p>
            <w:pPr>
              <w:widowControl/>
              <w:jc w:val="center"/>
              <w:rPr>
                <w:rFonts w:hint="default" w:eastAsia="仿宋"/>
                <w:color w:val="000000"/>
                <w:kern w:val="0"/>
                <w:szCs w:val="21"/>
                <w:lang w:val="en-US" w:eastAsia="zh-CN"/>
              </w:rPr>
            </w:pPr>
            <w:r>
              <w:rPr>
                <w:rFonts w:hint="eastAsia" w:eastAsia="仿宋"/>
                <w:color w:val="000000"/>
                <w:kern w:val="0"/>
                <w:szCs w:val="21"/>
                <w:lang w:val="en-US" w:eastAsia="zh-CN"/>
              </w:rPr>
              <w:t>何文政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 w:hRule="atLeast"/>
          <w:jc w:val="center"/>
        </w:trPr>
        <w:tc>
          <w:tcPr>
            <w:tcW w:w="1183" w:type="pct"/>
            <w:vMerge w:val="continue"/>
            <w:tcBorders>
              <w:left w:val="single" w:color="auto" w:sz="4" w:space="0"/>
              <w:right w:val="single" w:color="auto" w:sz="4" w:space="0"/>
            </w:tcBorders>
            <w:noWrap/>
            <w:vAlign w:val="center"/>
          </w:tcPr>
          <w:p>
            <w:pPr>
              <w:widowControl/>
            </w:pPr>
          </w:p>
        </w:tc>
        <w:tc>
          <w:tcPr>
            <w:tcW w:w="1805" w:type="pct"/>
            <w:tcBorders>
              <w:top w:val="single" w:color="auto" w:sz="4" w:space="0"/>
              <w:left w:val="single" w:color="auto" w:sz="4" w:space="0"/>
              <w:bottom w:val="single" w:color="auto" w:sz="4" w:space="0"/>
              <w:right w:val="single" w:color="auto" w:sz="4" w:space="0"/>
            </w:tcBorders>
            <w:noWrap w:val="0"/>
            <w:vAlign w:val="center"/>
          </w:tcPr>
          <w:p>
            <w:pPr>
              <w:widowControl/>
              <w:rPr>
                <w:rFonts w:hint="default" w:eastAsia="仿宋"/>
                <w:color w:val="000000"/>
                <w:kern w:val="0"/>
                <w:szCs w:val="21"/>
                <w:lang w:val="en-US" w:eastAsia="zh-CN"/>
              </w:rPr>
            </w:pPr>
            <w:r>
              <w:rPr>
                <w:rFonts w:hint="eastAsia" w:eastAsia="仿宋"/>
                <w:color w:val="000000"/>
                <w:kern w:val="0"/>
                <w:szCs w:val="21"/>
                <w:lang w:val="en-US" w:eastAsia="zh-CN"/>
              </w:rPr>
              <w:t>5.2 组织及办公管理</w:t>
            </w:r>
          </w:p>
        </w:tc>
        <w:tc>
          <w:tcPr>
            <w:tcW w:w="766" w:type="pct"/>
            <w:vMerge w:val="continue"/>
            <w:tcBorders>
              <w:left w:val="single" w:color="auto" w:sz="4" w:space="0"/>
              <w:right w:val="single" w:color="auto" w:sz="4" w:space="0"/>
            </w:tcBorders>
            <w:noWrap w:val="0"/>
            <w:vAlign w:val="center"/>
          </w:tcPr>
          <w:p>
            <w:pPr>
              <w:widowControl/>
              <w:jc w:val="center"/>
              <w:rPr>
                <w:rFonts w:eastAsia="仿宋"/>
                <w:color w:val="000000"/>
                <w:kern w:val="0"/>
                <w:szCs w:val="21"/>
              </w:rPr>
            </w:pPr>
          </w:p>
        </w:tc>
        <w:tc>
          <w:tcPr>
            <w:tcW w:w="1245" w:type="pct"/>
            <w:vMerge w:val="continue"/>
            <w:tcBorders>
              <w:left w:val="single" w:color="auto" w:sz="4" w:space="0"/>
              <w:right w:val="single" w:color="auto" w:sz="4" w:space="0"/>
            </w:tcBorders>
            <w:noWrap w:val="0"/>
            <w:vAlign w:val="center"/>
          </w:tcPr>
          <w:p>
            <w:pPr>
              <w:widowControl/>
              <w:jc w:val="center"/>
              <w:rPr>
                <w:rFonts w:hint="eastAsia" w:eastAsia="仿宋"/>
                <w:color w:val="000000"/>
                <w:kern w:val="0"/>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 w:hRule="atLeast"/>
          <w:jc w:val="center"/>
        </w:trPr>
        <w:tc>
          <w:tcPr>
            <w:tcW w:w="1183" w:type="pct"/>
            <w:vMerge w:val="continue"/>
            <w:tcBorders>
              <w:left w:val="single" w:color="auto" w:sz="4" w:space="0"/>
              <w:right w:val="single" w:color="auto" w:sz="4" w:space="0"/>
            </w:tcBorders>
            <w:noWrap/>
            <w:vAlign w:val="center"/>
          </w:tcPr>
          <w:p>
            <w:pPr>
              <w:widowControl/>
              <w:rPr>
                <w:rFonts w:eastAsia="仿宋"/>
                <w:color w:val="000000"/>
                <w:kern w:val="0"/>
                <w:szCs w:val="21"/>
              </w:rPr>
            </w:pPr>
          </w:p>
        </w:tc>
        <w:tc>
          <w:tcPr>
            <w:tcW w:w="1805" w:type="pct"/>
            <w:tcBorders>
              <w:top w:val="single" w:color="auto" w:sz="4" w:space="0"/>
              <w:left w:val="single" w:color="auto" w:sz="4" w:space="0"/>
              <w:bottom w:val="single" w:color="auto" w:sz="4" w:space="0"/>
              <w:right w:val="single" w:color="auto" w:sz="4" w:space="0"/>
            </w:tcBorders>
            <w:noWrap w:val="0"/>
            <w:vAlign w:val="center"/>
          </w:tcPr>
          <w:p>
            <w:pPr>
              <w:widowControl/>
              <w:rPr>
                <w:rFonts w:hint="default" w:eastAsia="仿宋"/>
                <w:color w:val="000000"/>
                <w:kern w:val="0"/>
                <w:szCs w:val="21"/>
                <w:lang w:val="en-US" w:eastAsia="zh-CN"/>
              </w:rPr>
            </w:pPr>
            <w:r>
              <w:rPr>
                <w:rFonts w:hint="eastAsia" w:eastAsia="仿宋"/>
                <w:color w:val="000000"/>
                <w:kern w:val="0"/>
                <w:szCs w:val="21"/>
                <w:lang w:val="en-US" w:eastAsia="zh-CN"/>
              </w:rPr>
              <w:t>5.3 质量管理</w:t>
            </w:r>
          </w:p>
        </w:tc>
        <w:tc>
          <w:tcPr>
            <w:tcW w:w="766" w:type="pct"/>
            <w:vMerge w:val="continue"/>
            <w:tcBorders>
              <w:left w:val="single" w:color="auto" w:sz="4" w:space="0"/>
              <w:right w:val="single" w:color="auto" w:sz="4" w:space="0"/>
            </w:tcBorders>
            <w:noWrap w:val="0"/>
            <w:vAlign w:val="center"/>
          </w:tcPr>
          <w:p>
            <w:pPr>
              <w:widowControl/>
              <w:jc w:val="center"/>
              <w:rPr>
                <w:rFonts w:eastAsia="仿宋"/>
                <w:color w:val="000000"/>
                <w:kern w:val="0"/>
                <w:szCs w:val="21"/>
              </w:rPr>
            </w:pPr>
          </w:p>
        </w:tc>
        <w:tc>
          <w:tcPr>
            <w:tcW w:w="1245" w:type="pct"/>
            <w:vMerge w:val="continue"/>
            <w:tcBorders>
              <w:left w:val="single" w:color="auto" w:sz="4" w:space="0"/>
              <w:right w:val="single" w:color="auto" w:sz="4" w:space="0"/>
            </w:tcBorders>
            <w:noWrap w:val="0"/>
            <w:vAlign w:val="center"/>
          </w:tcPr>
          <w:p>
            <w:pPr>
              <w:widowControl/>
              <w:jc w:val="center"/>
              <w:rPr>
                <w:rFonts w:hint="eastAsia" w:eastAsia="仿宋"/>
                <w:color w:val="000000"/>
                <w:kern w:val="0"/>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 w:hRule="atLeast"/>
          <w:jc w:val="center"/>
        </w:trPr>
        <w:tc>
          <w:tcPr>
            <w:tcW w:w="1183" w:type="pct"/>
            <w:vMerge w:val="continue"/>
            <w:tcBorders>
              <w:left w:val="single" w:color="auto" w:sz="4" w:space="0"/>
              <w:right w:val="single" w:color="auto" w:sz="4" w:space="0"/>
            </w:tcBorders>
            <w:noWrap/>
            <w:vAlign w:val="center"/>
          </w:tcPr>
          <w:p>
            <w:pPr>
              <w:widowControl/>
              <w:rPr>
                <w:rFonts w:eastAsia="仿宋"/>
                <w:color w:val="000000"/>
                <w:kern w:val="0"/>
                <w:szCs w:val="21"/>
              </w:rPr>
            </w:pPr>
          </w:p>
        </w:tc>
        <w:tc>
          <w:tcPr>
            <w:tcW w:w="1805" w:type="pct"/>
            <w:tcBorders>
              <w:top w:val="single" w:color="auto" w:sz="4" w:space="0"/>
              <w:left w:val="single" w:color="auto" w:sz="4" w:space="0"/>
              <w:bottom w:val="single" w:color="auto" w:sz="4" w:space="0"/>
              <w:right w:val="single" w:color="auto" w:sz="4" w:space="0"/>
            </w:tcBorders>
            <w:noWrap w:val="0"/>
            <w:vAlign w:val="center"/>
          </w:tcPr>
          <w:p>
            <w:pPr>
              <w:widowControl/>
              <w:rPr>
                <w:rFonts w:hint="default" w:eastAsia="仿宋"/>
                <w:color w:val="000000"/>
                <w:kern w:val="0"/>
                <w:szCs w:val="21"/>
                <w:lang w:val="en-US" w:eastAsia="zh-CN"/>
              </w:rPr>
            </w:pPr>
            <w:r>
              <w:rPr>
                <w:rFonts w:hint="eastAsia" w:eastAsia="仿宋"/>
                <w:color w:val="000000"/>
                <w:kern w:val="0"/>
                <w:szCs w:val="21"/>
                <w:lang w:val="en-US" w:eastAsia="zh-CN"/>
              </w:rPr>
              <w:t>5.4 进度管理</w:t>
            </w:r>
          </w:p>
        </w:tc>
        <w:tc>
          <w:tcPr>
            <w:tcW w:w="766" w:type="pct"/>
            <w:vMerge w:val="continue"/>
            <w:tcBorders>
              <w:left w:val="single" w:color="auto" w:sz="4" w:space="0"/>
              <w:right w:val="single" w:color="auto" w:sz="4" w:space="0"/>
            </w:tcBorders>
            <w:noWrap w:val="0"/>
            <w:vAlign w:val="center"/>
          </w:tcPr>
          <w:p>
            <w:pPr>
              <w:widowControl/>
              <w:jc w:val="center"/>
              <w:rPr>
                <w:rFonts w:eastAsia="仿宋"/>
                <w:color w:val="000000"/>
                <w:kern w:val="0"/>
                <w:szCs w:val="21"/>
              </w:rPr>
            </w:pPr>
          </w:p>
        </w:tc>
        <w:tc>
          <w:tcPr>
            <w:tcW w:w="1245" w:type="pct"/>
            <w:vMerge w:val="continue"/>
            <w:tcBorders>
              <w:left w:val="single" w:color="auto" w:sz="4" w:space="0"/>
              <w:right w:val="single" w:color="auto" w:sz="4" w:space="0"/>
            </w:tcBorders>
            <w:noWrap w:val="0"/>
            <w:vAlign w:val="center"/>
          </w:tcPr>
          <w:p>
            <w:pPr>
              <w:widowControl/>
              <w:jc w:val="center"/>
              <w:rPr>
                <w:rFonts w:hint="eastAsia" w:eastAsia="仿宋"/>
                <w:color w:val="000000"/>
                <w:kern w:val="0"/>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 w:hRule="atLeast"/>
          <w:jc w:val="center"/>
        </w:trPr>
        <w:tc>
          <w:tcPr>
            <w:tcW w:w="1183" w:type="pct"/>
            <w:vMerge w:val="continue"/>
            <w:tcBorders>
              <w:left w:val="single" w:color="auto" w:sz="4" w:space="0"/>
              <w:right w:val="single" w:color="auto" w:sz="4" w:space="0"/>
            </w:tcBorders>
            <w:noWrap/>
            <w:vAlign w:val="center"/>
          </w:tcPr>
          <w:p>
            <w:pPr>
              <w:widowControl/>
              <w:rPr>
                <w:rFonts w:eastAsia="仿宋"/>
                <w:color w:val="000000"/>
                <w:kern w:val="0"/>
                <w:szCs w:val="21"/>
              </w:rPr>
            </w:pPr>
          </w:p>
        </w:tc>
        <w:tc>
          <w:tcPr>
            <w:tcW w:w="1805" w:type="pct"/>
            <w:tcBorders>
              <w:top w:val="single" w:color="auto" w:sz="4" w:space="0"/>
              <w:left w:val="single" w:color="auto" w:sz="4" w:space="0"/>
              <w:bottom w:val="single" w:color="auto" w:sz="4" w:space="0"/>
              <w:right w:val="single" w:color="auto" w:sz="4" w:space="0"/>
            </w:tcBorders>
            <w:noWrap w:val="0"/>
            <w:vAlign w:val="center"/>
          </w:tcPr>
          <w:p>
            <w:pPr>
              <w:widowControl/>
              <w:rPr>
                <w:rFonts w:hint="default" w:eastAsia="仿宋"/>
                <w:color w:val="000000"/>
                <w:kern w:val="0"/>
                <w:szCs w:val="21"/>
                <w:lang w:val="en-US" w:eastAsia="zh-CN"/>
              </w:rPr>
            </w:pPr>
            <w:r>
              <w:rPr>
                <w:rFonts w:hint="eastAsia" w:eastAsia="仿宋"/>
                <w:color w:val="000000"/>
                <w:kern w:val="0"/>
                <w:szCs w:val="21"/>
                <w:lang w:val="en-US" w:eastAsia="zh-CN"/>
              </w:rPr>
              <w:t>5.5 合约管理</w:t>
            </w:r>
          </w:p>
        </w:tc>
        <w:tc>
          <w:tcPr>
            <w:tcW w:w="766" w:type="pct"/>
            <w:vMerge w:val="continue"/>
            <w:tcBorders>
              <w:left w:val="single" w:color="auto" w:sz="4" w:space="0"/>
              <w:right w:val="single" w:color="auto" w:sz="4" w:space="0"/>
            </w:tcBorders>
            <w:noWrap w:val="0"/>
            <w:vAlign w:val="center"/>
          </w:tcPr>
          <w:p>
            <w:pPr>
              <w:widowControl/>
              <w:jc w:val="center"/>
              <w:rPr>
                <w:rFonts w:eastAsia="仿宋"/>
                <w:color w:val="000000"/>
                <w:kern w:val="0"/>
                <w:szCs w:val="21"/>
              </w:rPr>
            </w:pPr>
          </w:p>
        </w:tc>
        <w:tc>
          <w:tcPr>
            <w:tcW w:w="1245" w:type="pct"/>
            <w:vMerge w:val="continue"/>
            <w:tcBorders>
              <w:left w:val="single" w:color="auto" w:sz="4" w:space="0"/>
              <w:right w:val="single" w:color="auto" w:sz="4" w:space="0"/>
            </w:tcBorders>
            <w:noWrap w:val="0"/>
            <w:vAlign w:val="center"/>
          </w:tcPr>
          <w:p>
            <w:pPr>
              <w:widowControl/>
              <w:jc w:val="center"/>
              <w:rPr>
                <w:rFonts w:hint="eastAsia" w:eastAsia="仿宋"/>
                <w:color w:val="000000"/>
                <w:kern w:val="0"/>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 w:hRule="atLeast"/>
          <w:jc w:val="center"/>
        </w:trPr>
        <w:tc>
          <w:tcPr>
            <w:tcW w:w="1183" w:type="pct"/>
            <w:vMerge w:val="continue"/>
            <w:tcBorders>
              <w:left w:val="single" w:color="auto" w:sz="4" w:space="0"/>
              <w:right w:val="single" w:color="auto" w:sz="4" w:space="0"/>
            </w:tcBorders>
            <w:noWrap/>
            <w:vAlign w:val="center"/>
          </w:tcPr>
          <w:p>
            <w:pPr>
              <w:widowControl/>
              <w:rPr>
                <w:rFonts w:eastAsia="仿宋"/>
                <w:color w:val="000000"/>
                <w:kern w:val="0"/>
                <w:szCs w:val="21"/>
              </w:rPr>
            </w:pPr>
          </w:p>
        </w:tc>
        <w:tc>
          <w:tcPr>
            <w:tcW w:w="1805" w:type="pct"/>
            <w:tcBorders>
              <w:top w:val="single" w:color="auto" w:sz="4" w:space="0"/>
              <w:left w:val="single" w:color="auto" w:sz="4" w:space="0"/>
              <w:bottom w:val="single" w:color="auto" w:sz="4" w:space="0"/>
              <w:right w:val="single" w:color="auto" w:sz="4" w:space="0"/>
            </w:tcBorders>
            <w:noWrap w:val="0"/>
            <w:vAlign w:val="center"/>
          </w:tcPr>
          <w:p>
            <w:pPr>
              <w:widowControl/>
              <w:rPr>
                <w:rFonts w:hint="default" w:eastAsia="仿宋"/>
                <w:color w:val="000000"/>
                <w:kern w:val="0"/>
                <w:szCs w:val="21"/>
                <w:lang w:val="en-US" w:eastAsia="zh-CN"/>
              </w:rPr>
            </w:pPr>
            <w:r>
              <w:rPr>
                <w:rFonts w:hint="eastAsia" w:eastAsia="仿宋"/>
                <w:color w:val="000000"/>
                <w:kern w:val="0"/>
                <w:szCs w:val="21"/>
                <w:lang w:val="en-US" w:eastAsia="zh-CN"/>
              </w:rPr>
              <w:t>5.6 安全管理</w:t>
            </w:r>
          </w:p>
        </w:tc>
        <w:tc>
          <w:tcPr>
            <w:tcW w:w="766" w:type="pct"/>
            <w:vMerge w:val="continue"/>
            <w:tcBorders>
              <w:left w:val="single" w:color="auto" w:sz="4" w:space="0"/>
              <w:right w:val="single" w:color="auto" w:sz="4" w:space="0"/>
            </w:tcBorders>
            <w:noWrap w:val="0"/>
            <w:vAlign w:val="center"/>
          </w:tcPr>
          <w:p>
            <w:pPr>
              <w:widowControl/>
              <w:jc w:val="center"/>
              <w:rPr>
                <w:rFonts w:eastAsia="仿宋"/>
                <w:color w:val="000000"/>
                <w:kern w:val="0"/>
                <w:szCs w:val="21"/>
              </w:rPr>
            </w:pPr>
          </w:p>
        </w:tc>
        <w:tc>
          <w:tcPr>
            <w:tcW w:w="1245" w:type="pct"/>
            <w:vMerge w:val="continue"/>
            <w:tcBorders>
              <w:left w:val="single" w:color="auto" w:sz="4" w:space="0"/>
              <w:right w:val="single" w:color="auto" w:sz="4" w:space="0"/>
            </w:tcBorders>
            <w:noWrap w:val="0"/>
            <w:vAlign w:val="center"/>
          </w:tcPr>
          <w:p>
            <w:pPr>
              <w:widowControl/>
              <w:jc w:val="center"/>
              <w:rPr>
                <w:rFonts w:hint="eastAsia" w:eastAsia="仿宋"/>
                <w:color w:val="000000"/>
                <w:kern w:val="0"/>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 w:hRule="atLeast"/>
          <w:jc w:val="center"/>
        </w:trPr>
        <w:tc>
          <w:tcPr>
            <w:tcW w:w="1183" w:type="pct"/>
            <w:vMerge w:val="continue"/>
            <w:tcBorders>
              <w:left w:val="single" w:color="auto" w:sz="4" w:space="0"/>
              <w:right w:val="single" w:color="auto" w:sz="4" w:space="0"/>
            </w:tcBorders>
            <w:noWrap/>
            <w:vAlign w:val="center"/>
          </w:tcPr>
          <w:p>
            <w:pPr>
              <w:widowControl/>
              <w:rPr>
                <w:rFonts w:eastAsia="仿宋"/>
                <w:color w:val="000000"/>
                <w:kern w:val="0"/>
                <w:szCs w:val="21"/>
              </w:rPr>
            </w:pPr>
          </w:p>
        </w:tc>
        <w:tc>
          <w:tcPr>
            <w:tcW w:w="1805" w:type="pct"/>
            <w:tcBorders>
              <w:top w:val="single" w:color="auto" w:sz="4" w:space="0"/>
              <w:left w:val="single" w:color="auto" w:sz="4" w:space="0"/>
              <w:bottom w:val="single" w:color="auto" w:sz="4" w:space="0"/>
              <w:right w:val="single" w:color="auto" w:sz="4" w:space="0"/>
            </w:tcBorders>
            <w:noWrap w:val="0"/>
            <w:vAlign w:val="center"/>
          </w:tcPr>
          <w:p>
            <w:pPr>
              <w:widowControl/>
              <w:rPr>
                <w:rFonts w:hint="default" w:eastAsia="仿宋"/>
                <w:color w:val="000000"/>
                <w:kern w:val="0"/>
                <w:szCs w:val="21"/>
                <w:lang w:val="en-US" w:eastAsia="zh-CN"/>
              </w:rPr>
            </w:pPr>
            <w:r>
              <w:rPr>
                <w:rFonts w:hint="eastAsia" w:eastAsia="仿宋"/>
                <w:color w:val="000000"/>
                <w:kern w:val="0"/>
                <w:szCs w:val="21"/>
                <w:lang w:val="en-US" w:eastAsia="zh-CN"/>
              </w:rPr>
              <w:t>5.7 绿色管理</w:t>
            </w:r>
          </w:p>
        </w:tc>
        <w:tc>
          <w:tcPr>
            <w:tcW w:w="766" w:type="pct"/>
            <w:vMerge w:val="continue"/>
            <w:tcBorders>
              <w:left w:val="single" w:color="auto" w:sz="4" w:space="0"/>
              <w:right w:val="single" w:color="auto" w:sz="4" w:space="0"/>
            </w:tcBorders>
            <w:noWrap w:val="0"/>
            <w:vAlign w:val="center"/>
          </w:tcPr>
          <w:p>
            <w:pPr>
              <w:widowControl/>
              <w:jc w:val="center"/>
              <w:rPr>
                <w:rFonts w:eastAsia="仿宋"/>
                <w:color w:val="000000"/>
                <w:kern w:val="0"/>
                <w:szCs w:val="21"/>
              </w:rPr>
            </w:pPr>
          </w:p>
        </w:tc>
        <w:tc>
          <w:tcPr>
            <w:tcW w:w="1245" w:type="pct"/>
            <w:vMerge w:val="continue"/>
            <w:tcBorders>
              <w:left w:val="single" w:color="auto" w:sz="4" w:space="0"/>
              <w:right w:val="single" w:color="auto" w:sz="4" w:space="0"/>
            </w:tcBorders>
            <w:noWrap w:val="0"/>
            <w:vAlign w:val="center"/>
          </w:tcPr>
          <w:p>
            <w:pPr>
              <w:widowControl/>
              <w:jc w:val="center"/>
              <w:rPr>
                <w:rFonts w:hint="eastAsia" w:eastAsia="仿宋"/>
                <w:color w:val="000000"/>
                <w:kern w:val="0"/>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 w:hRule="atLeast"/>
          <w:jc w:val="center"/>
        </w:trPr>
        <w:tc>
          <w:tcPr>
            <w:tcW w:w="1183" w:type="pct"/>
            <w:vMerge w:val="continue"/>
            <w:tcBorders>
              <w:left w:val="single" w:color="auto" w:sz="4" w:space="0"/>
              <w:right w:val="single" w:color="auto" w:sz="4" w:space="0"/>
            </w:tcBorders>
            <w:noWrap/>
            <w:vAlign w:val="center"/>
          </w:tcPr>
          <w:p>
            <w:pPr>
              <w:widowControl/>
              <w:rPr>
                <w:rFonts w:eastAsia="仿宋"/>
                <w:color w:val="000000"/>
                <w:kern w:val="0"/>
                <w:szCs w:val="21"/>
              </w:rPr>
            </w:pPr>
          </w:p>
        </w:tc>
        <w:tc>
          <w:tcPr>
            <w:tcW w:w="1805" w:type="pct"/>
            <w:tcBorders>
              <w:top w:val="single" w:color="auto" w:sz="4" w:space="0"/>
              <w:left w:val="single" w:color="auto" w:sz="4" w:space="0"/>
              <w:bottom w:val="single" w:color="auto" w:sz="4" w:space="0"/>
              <w:right w:val="single" w:color="auto" w:sz="4" w:space="0"/>
            </w:tcBorders>
            <w:noWrap w:val="0"/>
            <w:vAlign w:val="center"/>
          </w:tcPr>
          <w:p>
            <w:pPr>
              <w:widowControl/>
              <w:rPr>
                <w:rFonts w:hint="default" w:eastAsia="仿宋"/>
                <w:color w:val="000000"/>
                <w:kern w:val="0"/>
                <w:szCs w:val="21"/>
                <w:lang w:val="en-US" w:eastAsia="zh-CN"/>
              </w:rPr>
            </w:pPr>
            <w:r>
              <w:rPr>
                <w:rFonts w:hint="eastAsia" w:eastAsia="仿宋"/>
                <w:color w:val="000000"/>
                <w:kern w:val="0"/>
                <w:szCs w:val="21"/>
                <w:lang w:val="en-US" w:eastAsia="zh-CN"/>
              </w:rPr>
              <w:t>5.8 档案管理</w:t>
            </w:r>
          </w:p>
        </w:tc>
        <w:tc>
          <w:tcPr>
            <w:tcW w:w="766" w:type="pct"/>
            <w:vMerge w:val="continue"/>
            <w:tcBorders>
              <w:left w:val="single" w:color="auto" w:sz="4" w:space="0"/>
              <w:right w:val="single" w:color="auto" w:sz="4" w:space="0"/>
            </w:tcBorders>
            <w:noWrap w:val="0"/>
            <w:vAlign w:val="center"/>
          </w:tcPr>
          <w:p>
            <w:pPr>
              <w:widowControl/>
              <w:jc w:val="center"/>
              <w:rPr>
                <w:rFonts w:eastAsia="仿宋"/>
                <w:color w:val="000000"/>
                <w:kern w:val="0"/>
                <w:szCs w:val="21"/>
              </w:rPr>
            </w:pPr>
          </w:p>
        </w:tc>
        <w:tc>
          <w:tcPr>
            <w:tcW w:w="1245" w:type="pct"/>
            <w:vMerge w:val="continue"/>
            <w:tcBorders>
              <w:left w:val="single" w:color="auto" w:sz="4" w:space="0"/>
              <w:right w:val="single" w:color="auto" w:sz="4" w:space="0"/>
            </w:tcBorders>
            <w:noWrap w:val="0"/>
            <w:vAlign w:val="center"/>
          </w:tcPr>
          <w:p>
            <w:pPr>
              <w:widowControl/>
              <w:jc w:val="center"/>
              <w:rPr>
                <w:rFonts w:hint="eastAsia" w:eastAsia="仿宋"/>
                <w:color w:val="000000"/>
                <w:kern w:val="0"/>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 w:hRule="atLeast"/>
          <w:jc w:val="center"/>
        </w:trPr>
        <w:tc>
          <w:tcPr>
            <w:tcW w:w="1183" w:type="pct"/>
            <w:vMerge w:val="restart"/>
            <w:tcBorders>
              <w:left w:val="single" w:color="auto" w:sz="4" w:space="0"/>
              <w:right w:val="single" w:color="auto" w:sz="4" w:space="0"/>
            </w:tcBorders>
            <w:noWrap w:val="0"/>
            <w:vAlign w:val="center"/>
          </w:tcPr>
          <w:p>
            <w:pPr>
              <w:widowControl/>
              <w:rPr>
                <w:rFonts w:hint="default" w:eastAsia="仿宋"/>
                <w:color w:val="000000"/>
                <w:kern w:val="0"/>
                <w:szCs w:val="21"/>
                <w:lang w:val="en-US" w:eastAsia="zh-CN"/>
              </w:rPr>
            </w:pPr>
            <w:r>
              <w:rPr>
                <w:rFonts w:eastAsia="仿宋"/>
                <w:color w:val="000000"/>
                <w:kern w:val="0"/>
                <w:szCs w:val="21"/>
              </w:rPr>
              <w:t xml:space="preserve">6 </w:t>
            </w:r>
            <w:r>
              <w:rPr>
                <w:rFonts w:hint="eastAsia" w:eastAsia="仿宋"/>
                <w:color w:val="000000"/>
                <w:kern w:val="0"/>
                <w:szCs w:val="21"/>
                <w:lang w:val="en-US" w:eastAsia="zh-CN"/>
              </w:rPr>
              <w:t>路基施工模块</w:t>
            </w:r>
          </w:p>
        </w:tc>
        <w:tc>
          <w:tcPr>
            <w:tcW w:w="1805" w:type="pct"/>
            <w:tcBorders>
              <w:top w:val="single" w:color="auto" w:sz="4" w:space="0"/>
              <w:left w:val="single" w:color="auto" w:sz="4" w:space="0"/>
              <w:bottom w:val="single" w:color="auto" w:sz="4" w:space="0"/>
              <w:right w:val="single" w:color="auto" w:sz="4" w:space="0"/>
            </w:tcBorders>
            <w:noWrap w:val="0"/>
            <w:vAlign w:val="center"/>
          </w:tcPr>
          <w:p>
            <w:pPr>
              <w:widowControl/>
              <w:rPr>
                <w:rFonts w:hint="default" w:eastAsia="仿宋"/>
                <w:color w:val="000000"/>
                <w:kern w:val="0"/>
                <w:szCs w:val="21"/>
                <w:lang w:val="en-US" w:eastAsia="zh-CN"/>
              </w:rPr>
            </w:pPr>
            <w:r>
              <w:rPr>
                <w:rFonts w:hint="eastAsia" w:eastAsia="仿宋"/>
                <w:color w:val="000000"/>
                <w:kern w:val="0"/>
                <w:szCs w:val="21"/>
                <w:lang w:val="en-US" w:eastAsia="zh-CN"/>
              </w:rPr>
              <w:t>6.1 一般规定</w:t>
            </w:r>
          </w:p>
        </w:tc>
        <w:tc>
          <w:tcPr>
            <w:tcW w:w="766" w:type="pct"/>
            <w:vMerge w:val="restart"/>
            <w:tcBorders>
              <w:left w:val="single" w:color="auto" w:sz="4" w:space="0"/>
              <w:right w:val="single" w:color="auto" w:sz="4" w:space="0"/>
            </w:tcBorders>
            <w:noWrap w:val="0"/>
            <w:vAlign w:val="center"/>
          </w:tcPr>
          <w:p>
            <w:pPr>
              <w:widowControl/>
              <w:jc w:val="center"/>
              <w:rPr>
                <w:rFonts w:eastAsia="仿宋"/>
                <w:color w:val="000000"/>
                <w:kern w:val="0"/>
                <w:szCs w:val="21"/>
              </w:rPr>
            </w:pPr>
            <w:r>
              <w:rPr>
                <w:rFonts w:eastAsia="仿宋"/>
                <w:color w:val="000000"/>
                <w:kern w:val="0"/>
                <w:szCs w:val="21"/>
              </w:rPr>
              <w:t>张志祥</w:t>
            </w:r>
          </w:p>
        </w:tc>
        <w:tc>
          <w:tcPr>
            <w:tcW w:w="1245" w:type="pct"/>
            <w:vMerge w:val="restart"/>
            <w:tcBorders>
              <w:left w:val="single" w:color="auto" w:sz="4" w:space="0"/>
              <w:right w:val="single" w:color="auto" w:sz="4" w:space="0"/>
            </w:tcBorders>
            <w:noWrap w:val="0"/>
            <w:vAlign w:val="center"/>
          </w:tcPr>
          <w:p>
            <w:pPr>
              <w:widowControl/>
              <w:jc w:val="center"/>
              <w:rPr>
                <w:rFonts w:hint="eastAsia" w:eastAsia="仿宋"/>
                <w:color w:val="000000"/>
                <w:kern w:val="0"/>
                <w:szCs w:val="21"/>
                <w:lang w:val="en-US" w:eastAsia="zh-CN"/>
              </w:rPr>
            </w:pPr>
            <w:r>
              <w:rPr>
                <w:rFonts w:hint="eastAsia" w:eastAsia="仿宋"/>
                <w:color w:val="000000"/>
                <w:kern w:val="0"/>
                <w:szCs w:val="21"/>
                <w:lang w:val="en-US" w:eastAsia="zh-CN"/>
              </w:rPr>
              <w:t>顾春旺</w:t>
            </w:r>
          </w:p>
          <w:p>
            <w:pPr>
              <w:widowControl/>
              <w:jc w:val="center"/>
              <w:rPr>
                <w:rFonts w:hint="default" w:eastAsia="仿宋"/>
                <w:color w:val="000000"/>
                <w:kern w:val="0"/>
                <w:szCs w:val="21"/>
                <w:lang w:val="en-US" w:eastAsia="zh-CN"/>
              </w:rPr>
            </w:pPr>
            <w:r>
              <w:rPr>
                <w:rFonts w:hint="eastAsia" w:eastAsia="仿宋"/>
                <w:color w:val="000000"/>
                <w:kern w:val="0"/>
                <w:szCs w:val="21"/>
                <w:lang w:val="en-US" w:eastAsia="zh-CN"/>
              </w:rPr>
              <w:t>唐建亚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 w:hRule="atLeast"/>
          <w:jc w:val="center"/>
        </w:trPr>
        <w:tc>
          <w:tcPr>
            <w:tcW w:w="1183" w:type="pct"/>
            <w:vMerge w:val="continue"/>
            <w:tcBorders>
              <w:left w:val="single" w:color="auto" w:sz="4" w:space="0"/>
              <w:right w:val="single" w:color="auto" w:sz="4" w:space="0"/>
            </w:tcBorders>
            <w:noWrap w:val="0"/>
            <w:vAlign w:val="center"/>
          </w:tcPr>
          <w:p>
            <w:pPr>
              <w:widowControl/>
            </w:pPr>
          </w:p>
        </w:tc>
        <w:tc>
          <w:tcPr>
            <w:tcW w:w="1805" w:type="pct"/>
            <w:tcBorders>
              <w:top w:val="single" w:color="auto" w:sz="4" w:space="0"/>
              <w:left w:val="single" w:color="auto" w:sz="4" w:space="0"/>
              <w:bottom w:val="single" w:color="auto" w:sz="4" w:space="0"/>
              <w:right w:val="single" w:color="auto" w:sz="4" w:space="0"/>
            </w:tcBorders>
            <w:noWrap w:val="0"/>
            <w:vAlign w:val="center"/>
          </w:tcPr>
          <w:p>
            <w:pPr>
              <w:widowControl/>
              <w:rPr>
                <w:rFonts w:hint="default" w:eastAsia="仿宋"/>
                <w:color w:val="000000"/>
                <w:kern w:val="0"/>
                <w:szCs w:val="21"/>
                <w:lang w:val="en-US" w:eastAsia="zh-CN"/>
              </w:rPr>
            </w:pPr>
            <w:r>
              <w:rPr>
                <w:rFonts w:hint="eastAsia" w:eastAsia="仿宋"/>
                <w:color w:val="000000"/>
                <w:kern w:val="0"/>
                <w:szCs w:val="21"/>
                <w:lang w:val="en-US" w:eastAsia="zh-CN"/>
              </w:rPr>
              <w:t>6.2 软基施工</w:t>
            </w:r>
          </w:p>
        </w:tc>
        <w:tc>
          <w:tcPr>
            <w:tcW w:w="766" w:type="pct"/>
            <w:vMerge w:val="continue"/>
            <w:tcBorders>
              <w:left w:val="single" w:color="auto" w:sz="4" w:space="0"/>
              <w:right w:val="single" w:color="auto" w:sz="4" w:space="0"/>
            </w:tcBorders>
            <w:noWrap w:val="0"/>
            <w:vAlign w:val="center"/>
          </w:tcPr>
          <w:p>
            <w:pPr>
              <w:widowControl/>
              <w:jc w:val="center"/>
              <w:rPr>
                <w:rFonts w:eastAsia="仿宋"/>
                <w:color w:val="000000"/>
                <w:kern w:val="0"/>
                <w:szCs w:val="21"/>
              </w:rPr>
            </w:pPr>
          </w:p>
        </w:tc>
        <w:tc>
          <w:tcPr>
            <w:tcW w:w="1245" w:type="pct"/>
            <w:vMerge w:val="continue"/>
            <w:tcBorders>
              <w:left w:val="single" w:color="auto" w:sz="4" w:space="0"/>
              <w:right w:val="single" w:color="auto" w:sz="4" w:space="0"/>
            </w:tcBorders>
            <w:noWrap w:val="0"/>
            <w:vAlign w:val="center"/>
          </w:tcPr>
          <w:p>
            <w:pPr>
              <w:widowControl/>
              <w:jc w:val="center"/>
              <w:rPr>
                <w:rFonts w:hint="eastAsia" w:eastAsia="仿宋"/>
                <w:color w:val="000000"/>
                <w:kern w:val="0"/>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 w:hRule="atLeast"/>
          <w:jc w:val="center"/>
        </w:trPr>
        <w:tc>
          <w:tcPr>
            <w:tcW w:w="1183" w:type="pct"/>
            <w:vMerge w:val="continue"/>
            <w:tcBorders>
              <w:left w:val="single" w:color="auto" w:sz="4" w:space="0"/>
              <w:right w:val="single" w:color="auto" w:sz="4" w:space="0"/>
            </w:tcBorders>
            <w:noWrap w:val="0"/>
            <w:vAlign w:val="center"/>
          </w:tcPr>
          <w:p>
            <w:pPr>
              <w:widowControl/>
              <w:rPr>
                <w:rFonts w:eastAsia="仿宋"/>
                <w:color w:val="000000"/>
                <w:kern w:val="0"/>
                <w:szCs w:val="21"/>
              </w:rPr>
            </w:pPr>
          </w:p>
        </w:tc>
        <w:tc>
          <w:tcPr>
            <w:tcW w:w="1805" w:type="pct"/>
            <w:tcBorders>
              <w:top w:val="single" w:color="auto" w:sz="4" w:space="0"/>
              <w:left w:val="single" w:color="auto" w:sz="4" w:space="0"/>
              <w:bottom w:val="single" w:color="auto" w:sz="4" w:space="0"/>
              <w:right w:val="single" w:color="auto" w:sz="4" w:space="0"/>
            </w:tcBorders>
            <w:noWrap w:val="0"/>
            <w:vAlign w:val="center"/>
          </w:tcPr>
          <w:p>
            <w:pPr>
              <w:widowControl/>
              <w:rPr>
                <w:rFonts w:hint="default" w:eastAsia="仿宋"/>
                <w:color w:val="000000"/>
                <w:kern w:val="0"/>
                <w:szCs w:val="21"/>
                <w:lang w:val="en-US" w:eastAsia="zh-CN"/>
              </w:rPr>
            </w:pPr>
            <w:r>
              <w:rPr>
                <w:rFonts w:hint="eastAsia" w:eastAsia="仿宋"/>
                <w:color w:val="000000"/>
                <w:kern w:val="0"/>
                <w:szCs w:val="21"/>
                <w:lang w:val="en-US" w:eastAsia="zh-CN"/>
              </w:rPr>
              <w:t>6.3 路基压实</w:t>
            </w:r>
          </w:p>
        </w:tc>
        <w:tc>
          <w:tcPr>
            <w:tcW w:w="766" w:type="pct"/>
            <w:vMerge w:val="continue"/>
            <w:tcBorders>
              <w:left w:val="single" w:color="auto" w:sz="4" w:space="0"/>
              <w:right w:val="single" w:color="auto" w:sz="4" w:space="0"/>
            </w:tcBorders>
            <w:noWrap w:val="0"/>
            <w:vAlign w:val="center"/>
          </w:tcPr>
          <w:p>
            <w:pPr>
              <w:widowControl/>
              <w:jc w:val="center"/>
              <w:rPr>
                <w:rFonts w:eastAsia="仿宋"/>
                <w:color w:val="000000"/>
                <w:kern w:val="0"/>
                <w:szCs w:val="21"/>
              </w:rPr>
            </w:pPr>
          </w:p>
        </w:tc>
        <w:tc>
          <w:tcPr>
            <w:tcW w:w="1245" w:type="pct"/>
            <w:vMerge w:val="continue"/>
            <w:tcBorders>
              <w:left w:val="single" w:color="auto" w:sz="4" w:space="0"/>
              <w:right w:val="single" w:color="auto" w:sz="4" w:space="0"/>
            </w:tcBorders>
            <w:noWrap w:val="0"/>
            <w:vAlign w:val="center"/>
          </w:tcPr>
          <w:p>
            <w:pPr>
              <w:widowControl/>
              <w:jc w:val="center"/>
              <w:rPr>
                <w:rFonts w:hint="eastAsia" w:eastAsia="仿宋"/>
                <w:color w:val="000000"/>
                <w:kern w:val="0"/>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 w:hRule="atLeast"/>
          <w:jc w:val="center"/>
        </w:trPr>
        <w:tc>
          <w:tcPr>
            <w:tcW w:w="1183" w:type="pct"/>
            <w:vMerge w:val="continue"/>
            <w:tcBorders>
              <w:left w:val="single" w:color="auto" w:sz="4" w:space="0"/>
              <w:right w:val="single" w:color="auto" w:sz="4" w:space="0"/>
            </w:tcBorders>
            <w:noWrap w:val="0"/>
            <w:vAlign w:val="center"/>
          </w:tcPr>
          <w:p>
            <w:pPr>
              <w:widowControl/>
              <w:rPr>
                <w:rFonts w:eastAsia="仿宋"/>
                <w:color w:val="000000"/>
                <w:kern w:val="0"/>
                <w:szCs w:val="21"/>
              </w:rPr>
            </w:pPr>
          </w:p>
        </w:tc>
        <w:tc>
          <w:tcPr>
            <w:tcW w:w="1805" w:type="pct"/>
            <w:tcBorders>
              <w:top w:val="single" w:color="auto" w:sz="4" w:space="0"/>
              <w:left w:val="single" w:color="auto" w:sz="4" w:space="0"/>
              <w:bottom w:val="single" w:color="auto" w:sz="4" w:space="0"/>
              <w:right w:val="single" w:color="auto" w:sz="4" w:space="0"/>
            </w:tcBorders>
            <w:noWrap w:val="0"/>
            <w:vAlign w:val="center"/>
          </w:tcPr>
          <w:p>
            <w:pPr>
              <w:widowControl/>
              <w:rPr>
                <w:rFonts w:hint="default" w:eastAsia="仿宋"/>
                <w:color w:val="000000"/>
                <w:kern w:val="0"/>
                <w:szCs w:val="21"/>
                <w:lang w:val="en-US" w:eastAsia="zh-CN"/>
              </w:rPr>
            </w:pPr>
            <w:r>
              <w:rPr>
                <w:rFonts w:hint="eastAsia" w:eastAsia="仿宋"/>
                <w:color w:val="000000"/>
                <w:kern w:val="0"/>
                <w:szCs w:val="21"/>
                <w:lang w:val="en-US" w:eastAsia="zh-CN"/>
              </w:rPr>
              <w:t>6.4 边坡施工</w:t>
            </w:r>
          </w:p>
        </w:tc>
        <w:tc>
          <w:tcPr>
            <w:tcW w:w="766" w:type="pct"/>
            <w:vMerge w:val="continue"/>
            <w:tcBorders>
              <w:left w:val="single" w:color="auto" w:sz="4" w:space="0"/>
              <w:right w:val="single" w:color="auto" w:sz="4" w:space="0"/>
            </w:tcBorders>
            <w:noWrap w:val="0"/>
            <w:vAlign w:val="center"/>
          </w:tcPr>
          <w:p>
            <w:pPr>
              <w:widowControl/>
              <w:jc w:val="center"/>
              <w:rPr>
                <w:rFonts w:eastAsia="仿宋"/>
                <w:color w:val="000000"/>
                <w:kern w:val="0"/>
                <w:szCs w:val="21"/>
              </w:rPr>
            </w:pPr>
          </w:p>
        </w:tc>
        <w:tc>
          <w:tcPr>
            <w:tcW w:w="1245" w:type="pct"/>
            <w:vMerge w:val="continue"/>
            <w:tcBorders>
              <w:left w:val="single" w:color="auto" w:sz="4" w:space="0"/>
              <w:right w:val="single" w:color="auto" w:sz="4" w:space="0"/>
            </w:tcBorders>
            <w:noWrap w:val="0"/>
            <w:vAlign w:val="center"/>
          </w:tcPr>
          <w:p>
            <w:pPr>
              <w:widowControl/>
              <w:jc w:val="center"/>
              <w:rPr>
                <w:rFonts w:hint="eastAsia" w:eastAsia="仿宋"/>
                <w:color w:val="000000"/>
                <w:kern w:val="0"/>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 w:hRule="atLeast"/>
          <w:jc w:val="center"/>
        </w:trPr>
        <w:tc>
          <w:tcPr>
            <w:tcW w:w="1183" w:type="pct"/>
            <w:vMerge w:val="continue"/>
            <w:tcBorders>
              <w:left w:val="single" w:color="auto" w:sz="4" w:space="0"/>
              <w:right w:val="single" w:color="auto" w:sz="4" w:space="0"/>
            </w:tcBorders>
            <w:noWrap w:val="0"/>
            <w:vAlign w:val="center"/>
          </w:tcPr>
          <w:p>
            <w:pPr>
              <w:widowControl/>
              <w:rPr>
                <w:rFonts w:eastAsia="仿宋"/>
                <w:color w:val="000000"/>
                <w:kern w:val="0"/>
                <w:szCs w:val="21"/>
              </w:rPr>
            </w:pPr>
          </w:p>
        </w:tc>
        <w:tc>
          <w:tcPr>
            <w:tcW w:w="1805" w:type="pct"/>
            <w:tcBorders>
              <w:top w:val="single" w:color="auto" w:sz="4" w:space="0"/>
              <w:left w:val="single" w:color="auto" w:sz="4" w:space="0"/>
              <w:bottom w:val="single" w:color="auto" w:sz="4" w:space="0"/>
              <w:right w:val="single" w:color="auto" w:sz="4" w:space="0"/>
            </w:tcBorders>
            <w:noWrap w:val="0"/>
            <w:vAlign w:val="center"/>
          </w:tcPr>
          <w:p>
            <w:pPr>
              <w:widowControl/>
              <w:rPr>
                <w:rFonts w:hint="default" w:eastAsia="仿宋"/>
                <w:color w:val="000000"/>
                <w:kern w:val="0"/>
                <w:szCs w:val="21"/>
                <w:lang w:val="en-US" w:eastAsia="zh-CN"/>
              </w:rPr>
            </w:pPr>
            <w:r>
              <w:rPr>
                <w:rFonts w:hint="eastAsia" w:eastAsia="仿宋"/>
                <w:color w:val="000000"/>
                <w:kern w:val="0"/>
                <w:szCs w:val="21"/>
                <w:lang w:val="en-US" w:eastAsia="zh-CN"/>
              </w:rPr>
              <w:t>6.5 涵洞施工</w:t>
            </w:r>
          </w:p>
        </w:tc>
        <w:tc>
          <w:tcPr>
            <w:tcW w:w="766" w:type="pct"/>
            <w:vMerge w:val="continue"/>
            <w:tcBorders>
              <w:left w:val="single" w:color="auto" w:sz="4" w:space="0"/>
              <w:right w:val="single" w:color="auto" w:sz="4" w:space="0"/>
            </w:tcBorders>
            <w:noWrap w:val="0"/>
            <w:vAlign w:val="center"/>
          </w:tcPr>
          <w:p>
            <w:pPr>
              <w:widowControl/>
              <w:jc w:val="center"/>
              <w:rPr>
                <w:rFonts w:eastAsia="仿宋"/>
                <w:color w:val="000000"/>
                <w:kern w:val="0"/>
                <w:szCs w:val="21"/>
              </w:rPr>
            </w:pPr>
          </w:p>
        </w:tc>
        <w:tc>
          <w:tcPr>
            <w:tcW w:w="1245" w:type="pct"/>
            <w:vMerge w:val="continue"/>
            <w:tcBorders>
              <w:left w:val="single" w:color="auto" w:sz="4" w:space="0"/>
              <w:right w:val="single" w:color="auto" w:sz="4" w:space="0"/>
            </w:tcBorders>
            <w:noWrap w:val="0"/>
            <w:vAlign w:val="center"/>
          </w:tcPr>
          <w:p>
            <w:pPr>
              <w:widowControl/>
              <w:jc w:val="center"/>
              <w:rPr>
                <w:rFonts w:hint="eastAsia" w:eastAsia="仿宋"/>
                <w:color w:val="000000"/>
                <w:kern w:val="0"/>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183" w:type="pct"/>
            <w:vMerge w:val="restart"/>
            <w:tcBorders>
              <w:left w:val="single" w:color="auto" w:sz="4" w:space="0"/>
              <w:right w:val="single" w:color="auto" w:sz="4" w:space="0"/>
            </w:tcBorders>
            <w:noWrap w:val="0"/>
            <w:vAlign w:val="center"/>
          </w:tcPr>
          <w:p>
            <w:pPr>
              <w:widowControl/>
              <w:rPr>
                <w:rFonts w:hint="default" w:eastAsia="仿宋"/>
                <w:color w:val="000000"/>
                <w:kern w:val="0"/>
                <w:szCs w:val="21"/>
                <w:lang w:val="en-US" w:eastAsia="zh-CN"/>
              </w:rPr>
            </w:pPr>
            <w:r>
              <w:rPr>
                <w:rFonts w:eastAsia="仿宋"/>
                <w:color w:val="000000"/>
                <w:kern w:val="0"/>
                <w:szCs w:val="21"/>
              </w:rPr>
              <w:t xml:space="preserve">7 </w:t>
            </w:r>
            <w:r>
              <w:rPr>
                <w:rFonts w:hint="eastAsia" w:eastAsia="仿宋"/>
                <w:color w:val="000000"/>
                <w:kern w:val="0"/>
                <w:szCs w:val="21"/>
                <w:lang w:val="en-US" w:eastAsia="zh-CN"/>
              </w:rPr>
              <w:t>路面施工模块</w:t>
            </w:r>
          </w:p>
        </w:tc>
        <w:tc>
          <w:tcPr>
            <w:tcW w:w="1805" w:type="pct"/>
            <w:tcBorders>
              <w:top w:val="single" w:color="auto" w:sz="4" w:space="0"/>
              <w:left w:val="single" w:color="auto" w:sz="4" w:space="0"/>
              <w:bottom w:val="single" w:color="auto" w:sz="4" w:space="0"/>
              <w:right w:val="single" w:color="auto" w:sz="4" w:space="0"/>
            </w:tcBorders>
            <w:noWrap w:val="0"/>
            <w:vAlign w:val="center"/>
          </w:tcPr>
          <w:p>
            <w:pPr>
              <w:widowControl/>
              <w:rPr>
                <w:rFonts w:hint="default" w:eastAsia="仿宋"/>
                <w:color w:val="000000"/>
                <w:kern w:val="0"/>
                <w:szCs w:val="21"/>
                <w:lang w:val="en-US" w:eastAsia="zh-CN"/>
              </w:rPr>
            </w:pPr>
            <w:r>
              <w:rPr>
                <w:rFonts w:hint="eastAsia" w:eastAsia="仿宋"/>
                <w:color w:val="000000"/>
                <w:kern w:val="0"/>
                <w:szCs w:val="21"/>
                <w:lang w:val="en-US" w:eastAsia="zh-CN"/>
              </w:rPr>
              <w:t>7.1 一般规定</w:t>
            </w:r>
          </w:p>
        </w:tc>
        <w:tc>
          <w:tcPr>
            <w:tcW w:w="766" w:type="pct"/>
            <w:vMerge w:val="restart"/>
            <w:tcBorders>
              <w:left w:val="single" w:color="auto" w:sz="4" w:space="0"/>
              <w:right w:val="single" w:color="auto" w:sz="4" w:space="0"/>
            </w:tcBorders>
            <w:noWrap w:val="0"/>
            <w:vAlign w:val="center"/>
          </w:tcPr>
          <w:p>
            <w:pPr>
              <w:widowControl/>
              <w:jc w:val="center"/>
              <w:rPr>
                <w:rFonts w:hint="default" w:eastAsia="仿宋"/>
                <w:color w:val="000000"/>
                <w:kern w:val="0"/>
                <w:szCs w:val="21"/>
                <w:lang w:val="en-US" w:eastAsia="zh-CN"/>
              </w:rPr>
            </w:pPr>
            <w:r>
              <w:rPr>
                <w:rFonts w:hint="eastAsia" w:eastAsia="仿宋"/>
                <w:color w:val="000000"/>
                <w:kern w:val="0"/>
                <w:szCs w:val="21"/>
                <w:lang w:val="en-US" w:eastAsia="zh-CN"/>
              </w:rPr>
              <w:t>潘卫育</w:t>
            </w:r>
          </w:p>
        </w:tc>
        <w:tc>
          <w:tcPr>
            <w:tcW w:w="1245" w:type="pct"/>
            <w:vMerge w:val="restart"/>
            <w:tcBorders>
              <w:left w:val="single" w:color="auto" w:sz="4" w:space="0"/>
              <w:right w:val="single" w:color="auto" w:sz="4" w:space="0"/>
            </w:tcBorders>
            <w:noWrap w:val="0"/>
            <w:vAlign w:val="center"/>
          </w:tcPr>
          <w:p>
            <w:pPr>
              <w:widowControl/>
              <w:jc w:val="center"/>
              <w:rPr>
                <w:rFonts w:hint="eastAsia" w:eastAsia="仿宋"/>
                <w:color w:val="000000"/>
                <w:kern w:val="0"/>
                <w:szCs w:val="21"/>
                <w:lang w:val="en-US" w:eastAsia="zh-CN"/>
              </w:rPr>
            </w:pPr>
            <w:r>
              <w:rPr>
                <w:rFonts w:hint="eastAsia" w:eastAsia="仿宋"/>
                <w:color w:val="000000"/>
                <w:kern w:val="0"/>
                <w:szCs w:val="21"/>
                <w:lang w:val="en-US" w:eastAsia="zh-CN"/>
              </w:rPr>
              <w:t>杨光昊</w:t>
            </w:r>
          </w:p>
          <w:p>
            <w:pPr>
              <w:widowControl/>
              <w:jc w:val="center"/>
              <w:rPr>
                <w:rFonts w:hint="eastAsia" w:eastAsia="仿宋"/>
                <w:color w:val="000000"/>
                <w:kern w:val="0"/>
                <w:szCs w:val="21"/>
                <w:lang w:val="en-US" w:eastAsia="zh-CN"/>
              </w:rPr>
            </w:pPr>
            <w:r>
              <w:rPr>
                <w:rFonts w:hint="eastAsia" w:eastAsia="仿宋"/>
                <w:color w:val="000000"/>
                <w:kern w:val="0"/>
                <w:szCs w:val="21"/>
                <w:lang w:val="en-US" w:eastAsia="zh-CN"/>
              </w:rPr>
              <w:t>刘 强</w:t>
            </w:r>
          </w:p>
          <w:p>
            <w:pPr>
              <w:widowControl/>
              <w:jc w:val="center"/>
              <w:rPr>
                <w:rFonts w:hint="default" w:eastAsia="仿宋"/>
                <w:color w:val="000000"/>
                <w:kern w:val="0"/>
                <w:szCs w:val="21"/>
                <w:lang w:val="en-US" w:eastAsia="zh-CN"/>
              </w:rPr>
            </w:pPr>
            <w:r>
              <w:rPr>
                <w:rFonts w:hint="eastAsia" w:eastAsia="仿宋"/>
                <w:color w:val="000000"/>
                <w:kern w:val="0"/>
                <w:szCs w:val="21"/>
                <w:lang w:val="en-US" w:eastAsia="zh-CN"/>
              </w:rPr>
              <w:t>孙雪伟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183" w:type="pct"/>
            <w:vMerge w:val="continue"/>
            <w:tcBorders>
              <w:left w:val="single" w:color="auto" w:sz="4" w:space="0"/>
              <w:right w:val="single" w:color="auto" w:sz="4" w:space="0"/>
            </w:tcBorders>
            <w:noWrap w:val="0"/>
            <w:vAlign w:val="center"/>
          </w:tcPr>
          <w:p>
            <w:pPr>
              <w:widowControl/>
              <w:rPr>
                <w:rFonts w:eastAsia="仿宋"/>
                <w:color w:val="000000"/>
                <w:kern w:val="0"/>
                <w:szCs w:val="21"/>
              </w:rPr>
            </w:pPr>
          </w:p>
        </w:tc>
        <w:tc>
          <w:tcPr>
            <w:tcW w:w="1805" w:type="pct"/>
            <w:tcBorders>
              <w:top w:val="single" w:color="auto" w:sz="4" w:space="0"/>
              <w:left w:val="single" w:color="auto" w:sz="4" w:space="0"/>
              <w:bottom w:val="single" w:color="auto" w:sz="4" w:space="0"/>
              <w:right w:val="single" w:color="auto" w:sz="4" w:space="0"/>
            </w:tcBorders>
            <w:noWrap w:val="0"/>
            <w:vAlign w:val="center"/>
          </w:tcPr>
          <w:p>
            <w:pPr>
              <w:widowControl/>
              <w:rPr>
                <w:rFonts w:hint="default" w:eastAsia="仿宋"/>
                <w:color w:val="000000"/>
                <w:kern w:val="0"/>
                <w:szCs w:val="21"/>
                <w:lang w:val="en-US" w:eastAsia="zh-CN"/>
              </w:rPr>
            </w:pPr>
            <w:r>
              <w:rPr>
                <w:rFonts w:hint="eastAsia" w:eastAsia="仿宋"/>
                <w:color w:val="000000"/>
                <w:kern w:val="0"/>
                <w:szCs w:val="21"/>
                <w:lang w:val="en-US" w:eastAsia="zh-CN"/>
              </w:rPr>
              <w:t>7.2 水稳混合料拌和</w:t>
            </w:r>
          </w:p>
        </w:tc>
        <w:tc>
          <w:tcPr>
            <w:tcW w:w="766" w:type="pct"/>
            <w:vMerge w:val="continue"/>
            <w:tcBorders>
              <w:left w:val="single" w:color="auto" w:sz="4" w:space="0"/>
              <w:right w:val="single" w:color="auto" w:sz="4" w:space="0"/>
            </w:tcBorders>
            <w:noWrap w:val="0"/>
            <w:vAlign w:val="center"/>
          </w:tcPr>
          <w:p>
            <w:pPr>
              <w:widowControl/>
              <w:jc w:val="center"/>
              <w:rPr>
                <w:rFonts w:eastAsia="仿宋"/>
                <w:color w:val="000000"/>
                <w:kern w:val="0"/>
                <w:szCs w:val="21"/>
              </w:rPr>
            </w:pPr>
          </w:p>
        </w:tc>
        <w:tc>
          <w:tcPr>
            <w:tcW w:w="1245" w:type="pct"/>
            <w:vMerge w:val="continue"/>
            <w:tcBorders>
              <w:left w:val="single" w:color="auto" w:sz="4" w:space="0"/>
              <w:right w:val="single" w:color="auto" w:sz="4" w:space="0"/>
            </w:tcBorders>
            <w:noWrap w:val="0"/>
            <w:vAlign w:val="center"/>
          </w:tcPr>
          <w:p>
            <w:pPr>
              <w:widowControl/>
              <w:jc w:val="center"/>
              <w:rPr>
                <w:rFonts w:hint="eastAsia" w:eastAsia="仿宋"/>
                <w:color w:val="000000"/>
                <w:kern w:val="0"/>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183" w:type="pct"/>
            <w:vMerge w:val="continue"/>
            <w:tcBorders>
              <w:left w:val="single" w:color="auto" w:sz="4" w:space="0"/>
              <w:right w:val="single" w:color="auto" w:sz="4" w:space="0"/>
            </w:tcBorders>
            <w:noWrap w:val="0"/>
            <w:vAlign w:val="center"/>
          </w:tcPr>
          <w:p>
            <w:pPr>
              <w:widowControl/>
              <w:rPr>
                <w:rFonts w:eastAsia="仿宋"/>
                <w:color w:val="000000"/>
                <w:kern w:val="0"/>
                <w:szCs w:val="21"/>
              </w:rPr>
            </w:pPr>
          </w:p>
        </w:tc>
        <w:tc>
          <w:tcPr>
            <w:tcW w:w="1805" w:type="pct"/>
            <w:tcBorders>
              <w:top w:val="single" w:color="auto" w:sz="4" w:space="0"/>
              <w:left w:val="single" w:color="auto" w:sz="4" w:space="0"/>
              <w:bottom w:val="single" w:color="auto" w:sz="4" w:space="0"/>
              <w:right w:val="single" w:color="auto" w:sz="4" w:space="0"/>
            </w:tcBorders>
            <w:noWrap w:val="0"/>
            <w:vAlign w:val="center"/>
          </w:tcPr>
          <w:p>
            <w:pPr>
              <w:widowControl/>
              <w:rPr>
                <w:rFonts w:hint="default" w:eastAsia="仿宋"/>
                <w:color w:val="000000"/>
                <w:kern w:val="0"/>
                <w:szCs w:val="21"/>
                <w:lang w:val="en-US" w:eastAsia="zh-CN"/>
              </w:rPr>
            </w:pPr>
            <w:r>
              <w:rPr>
                <w:rFonts w:hint="eastAsia" w:eastAsia="仿宋"/>
                <w:color w:val="000000"/>
                <w:kern w:val="0"/>
                <w:szCs w:val="21"/>
                <w:lang w:val="en-US" w:eastAsia="zh-CN"/>
              </w:rPr>
              <w:t>7.3 沥青混合料拌和</w:t>
            </w:r>
          </w:p>
        </w:tc>
        <w:tc>
          <w:tcPr>
            <w:tcW w:w="766" w:type="pct"/>
            <w:vMerge w:val="continue"/>
            <w:tcBorders>
              <w:left w:val="single" w:color="auto" w:sz="4" w:space="0"/>
              <w:right w:val="single" w:color="auto" w:sz="4" w:space="0"/>
            </w:tcBorders>
            <w:noWrap w:val="0"/>
            <w:vAlign w:val="center"/>
          </w:tcPr>
          <w:p>
            <w:pPr>
              <w:widowControl/>
              <w:jc w:val="center"/>
              <w:rPr>
                <w:rFonts w:eastAsia="仿宋"/>
                <w:color w:val="000000"/>
                <w:kern w:val="0"/>
                <w:szCs w:val="21"/>
              </w:rPr>
            </w:pPr>
          </w:p>
        </w:tc>
        <w:tc>
          <w:tcPr>
            <w:tcW w:w="1245" w:type="pct"/>
            <w:vMerge w:val="continue"/>
            <w:tcBorders>
              <w:left w:val="single" w:color="auto" w:sz="4" w:space="0"/>
              <w:right w:val="single" w:color="auto" w:sz="4" w:space="0"/>
            </w:tcBorders>
            <w:noWrap w:val="0"/>
            <w:vAlign w:val="center"/>
          </w:tcPr>
          <w:p>
            <w:pPr>
              <w:widowControl/>
              <w:jc w:val="center"/>
              <w:rPr>
                <w:rFonts w:hint="eastAsia" w:eastAsia="仿宋"/>
                <w:color w:val="000000"/>
                <w:kern w:val="0"/>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183" w:type="pct"/>
            <w:vMerge w:val="continue"/>
            <w:tcBorders>
              <w:left w:val="single" w:color="auto" w:sz="4" w:space="0"/>
              <w:right w:val="single" w:color="auto" w:sz="4" w:space="0"/>
            </w:tcBorders>
            <w:noWrap w:val="0"/>
            <w:vAlign w:val="center"/>
          </w:tcPr>
          <w:p>
            <w:pPr>
              <w:widowControl/>
              <w:rPr>
                <w:rFonts w:eastAsia="仿宋"/>
                <w:color w:val="000000"/>
                <w:kern w:val="0"/>
                <w:szCs w:val="21"/>
              </w:rPr>
            </w:pPr>
          </w:p>
        </w:tc>
        <w:tc>
          <w:tcPr>
            <w:tcW w:w="1805" w:type="pct"/>
            <w:tcBorders>
              <w:top w:val="single" w:color="auto" w:sz="4" w:space="0"/>
              <w:left w:val="single" w:color="auto" w:sz="4" w:space="0"/>
              <w:bottom w:val="single" w:color="auto" w:sz="4" w:space="0"/>
              <w:right w:val="single" w:color="auto" w:sz="4" w:space="0"/>
            </w:tcBorders>
            <w:noWrap w:val="0"/>
            <w:vAlign w:val="center"/>
          </w:tcPr>
          <w:p>
            <w:pPr>
              <w:widowControl/>
              <w:rPr>
                <w:rFonts w:hint="default" w:eastAsia="仿宋"/>
                <w:color w:val="000000"/>
                <w:kern w:val="0"/>
                <w:szCs w:val="21"/>
                <w:lang w:val="en-US" w:eastAsia="zh-CN"/>
              </w:rPr>
            </w:pPr>
            <w:r>
              <w:rPr>
                <w:rFonts w:hint="eastAsia" w:eastAsia="仿宋"/>
                <w:color w:val="000000"/>
                <w:kern w:val="0"/>
                <w:szCs w:val="21"/>
                <w:lang w:val="en-US" w:eastAsia="zh-CN"/>
              </w:rPr>
              <w:t>7.4 沥青混合料运输</w:t>
            </w:r>
          </w:p>
        </w:tc>
        <w:tc>
          <w:tcPr>
            <w:tcW w:w="766" w:type="pct"/>
            <w:vMerge w:val="continue"/>
            <w:tcBorders>
              <w:left w:val="single" w:color="auto" w:sz="4" w:space="0"/>
              <w:right w:val="single" w:color="auto" w:sz="4" w:space="0"/>
            </w:tcBorders>
            <w:noWrap w:val="0"/>
            <w:vAlign w:val="center"/>
          </w:tcPr>
          <w:p>
            <w:pPr>
              <w:widowControl/>
              <w:jc w:val="center"/>
              <w:rPr>
                <w:rFonts w:eastAsia="仿宋"/>
                <w:color w:val="000000"/>
                <w:kern w:val="0"/>
                <w:szCs w:val="21"/>
              </w:rPr>
            </w:pPr>
          </w:p>
        </w:tc>
        <w:tc>
          <w:tcPr>
            <w:tcW w:w="1245" w:type="pct"/>
            <w:vMerge w:val="continue"/>
            <w:tcBorders>
              <w:left w:val="single" w:color="auto" w:sz="4" w:space="0"/>
              <w:right w:val="single" w:color="auto" w:sz="4" w:space="0"/>
            </w:tcBorders>
            <w:noWrap w:val="0"/>
            <w:vAlign w:val="center"/>
          </w:tcPr>
          <w:p>
            <w:pPr>
              <w:widowControl/>
              <w:jc w:val="center"/>
              <w:rPr>
                <w:rFonts w:hint="eastAsia" w:eastAsia="仿宋"/>
                <w:color w:val="000000"/>
                <w:kern w:val="0"/>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183" w:type="pct"/>
            <w:vMerge w:val="continue"/>
            <w:tcBorders>
              <w:left w:val="single" w:color="auto" w:sz="4" w:space="0"/>
              <w:right w:val="single" w:color="auto" w:sz="4" w:space="0"/>
            </w:tcBorders>
            <w:noWrap w:val="0"/>
            <w:vAlign w:val="center"/>
          </w:tcPr>
          <w:p>
            <w:pPr>
              <w:widowControl/>
              <w:rPr>
                <w:rFonts w:eastAsia="仿宋"/>
                <w:color w:val="000000"/>
                <w:kern w:val="0"/>
                <w:szCs w:val="21"/>
              </w:rPr>
            </w:pPr>
          </w:p>
        </w:tc>
        <w:tc>
          <w:tcPr>
            <w:tcW w:w="1805" w:type="pct"/>
            <w:tcBorders>
              <w:top w:val="single" w:color="auto" w:sz="4" w:space="0"/>
              <w:left w:val="single" w:color="auto" w:sz="4" w:space="0"/>
              <w:bottom w:val="single" w:color="auto" w:sz="4" w:space="0"/>
              <w:right w:val="single" w:color="auto" w:sz="4" w:space="0"/>
            </w:tcBorders>
            <w:noWrap w:val="0"/>
            <w:vAlign w:val="center"/>
          </w:tcPr>
          <w:p>
            <w:pPr>
              <w:widowControl/>
              <w:rPr>
                <w:rFonts w:hint="default" w:eastAsia="仿宋"/>
                <w:color w:val="000000"/>
                <w:kern w:val="0"/>
                <w:szCs w:val="21"/>
                <w:lang w:val="en-US" w:eastAsia="zh-CN"/>
              </w:rPr>
            </w:pPr>
            <w:r>
              <w:rPr>
                <w:rFonts w:hint="eastAsia" w:eastAsia="仿宋"/>
                <w:color w:val="000000"/>
                <w:kern w:val="0"/>
                <w:szCs w:val="21"/>
                <w:lang w:val="en-US" w:eastAsia="zh-CN"/>
              </w:rPr>
              <w:t>7.5 路面摊铺、压实</w:t>
            </w:r>
          </w:p>
        </w:tc>
        <w:tc>
          <w:tcPr>
            <w:tcW w:w="766" w:type="pct"/>
            <w:vMerge w:val="continue"/>
            <w:tcBorders>
              <w:left w:val="single" w:color="auto" w:sz="4" w:space="0"/>
              <w:right w:val="single" w:color="auto" w:sz="4" w:space="0"/>
            </w:tcBorders>
            <w:noWrap w:val="0"/>
            <w:vAlign w:val="center"/>
          </w:tcPr>
          <w:p>
            <w:pPr>
              <w:widowControl/>
              <w:jc w:val="center"/>
              <w:rPr>
                <w:rFonts w:eastAsia="仿宋"/>
                <w:color w:val="000000"/>
                <w:kern w:val="0"/>
                <w:szCs w:val="21"/>
              </w:rPr>
            </w:pPr>
          </w:p>
        </w:tc>
        <w:tc>
          <w:tcPr>
            <w:tcW w:w="1245" w:type="pct"/>
            <w:vMerge w:val="continue"/>
            <w:tcBorders>
              <w:left w:val="single" w:color="auto" w:sz="4" w:space="0"/>
              <w:right w:val="single" w:color="auto" w:sz="4" w:space="0"/>
            </w:tcBorders>
            <w:noWrap w:val="0"/>
            <w:vAlign w:val="center"/>
          </w:tcPr>
          <w:p>
            <w:pPr>
              <w:widowControl/>
              <w:jc w:val="center"/>
              <w:rPr>
                <w:rFonts w:hint="eastAsia" w:eastAsia="仿宋"/>
                <w:color w:val="000000"/>
                <w:kern w:val="0"/>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183" w:type="pct"/>
            <w:vMerge w:val="restart"/>
            <w:tcBorders>
              <w:left w:val="single" w:color="auto" w:sz="4" w:space="0"/>
              <w:right w:val="single" w:color="auto" w:sz="4" w:space="0"/>
            </w:tcBorders>
            <w:noWrap w:val="0"/>
            <w:vAlign w:val="center"/>
          </w:tcPr>
          <w:p>
            <w:pPr>
              <w:widowControl/>
              <w:rPr>
                <w:rFonts w:hint="default" w:eastAsia="仿宋"/>
                <w:color w:val="000000"/>
                <w:kern w:val="0"/>
                <w:szCs w:val="21"/>
                <w:lang w:val="en-US" w:eastAsia="zh-CN"/>
              </w:rPr>
            </w:pPr>
            <w:r>
              <w:rPr>
                <w:rFonts w:eastAsia="仿宋"/>
                <w:color w:val="000000"/>
                <w:kern w:val="0"/>
                <w:szCs w:val="21"/>
              </w:rPr>
              <w:t xml:space="preserve">8 </w:t>
            </w:r>
            <w:r>
              <w:rPr>
                <w:rFonts w:hint="eastAsia" w:eastAsia="仿宋"/>
                <w:color w:val="000000"/>
                <w:kern w:val="0"/>
                <w:szCs w:val="21"/>
                <w:lang w:val="en-US" w:eastAsia="zh-CN"/>
              </w:rPr>
              <w:t>桥梁施工模块</w:t>
            </w:r>
          </w:p>
        </w:tc>
        <w:tc>
          <w:tcPr>
            <w:tcW w:w="1805" w:type="pct"/>
            <w:tcBorders>
              <w:top w:val="single" w:color="auto" w:sz="4" w:space="0"/>
              <w:left w:val="single" w:color="auto" w:sz="4" w:space="0"/>
              <w:bottom w:val="single" w:color="auto" w:sz="4" w:space="0"/>
              <w:right w:val="single" w:color="auto" w:sz="4" w:space="0"/>
            </w:tcBorders>
            <w:noWrap w:val="0"/>
            <w:vAlign w:val="center"/>
          </w:tcPr>
          <w:p>
            <w:pPr>
              <w:widowControl/>
              <w:rPr>
                <w:rFonts w:hint="default" w:eastAsia="仿宋"/>
                <w:color w:val="000000"/>
                <w:kern w:val="0"/>
                <w:szCs w:val="21"/>
                <w:lang w:val="en-US" w:eastAsia="zh-CN"/>
              </w:rPr>
            </w:pPr>
            <w:r>
              <w:rPr>
                <w:rFonts w:hint="eastAsia" w:eastAsia="仿宋"/>
                <w:color w:val="000000"/>
                <w:kern w:val="0"/>
                <w:szCs w:val="21"/>
                <w:lang w:val="en-US" w:eastAsia="zh-CN"/>
              </w:rPr>
              <w:t>8.1 一般规定</w:t>
            </w:r>
          </w:p>
        </w:tc>
        <w:tc>
          <w:tcPr>
            <w:tcW w:w="766" w:type="pct"/>
            <w:vMerge w:val="restart"/>
            <w:tcBorders>
              <w:left w:val="single" w:color="auto" w:sz="4" w:space="0"/>
              <w:right w:val="single" w:color="auto" w:sz="4" w:space="0"/>
            </w:tcBorders>
            <w:noWrap w:val="0"/>
            <w:vAlign w:val="center"/>
          </w:tcPr>
          <w:p>
            <w:pPr>
              <w:widowControl/>
              <w:jc w:val="center"/>
              <w:rPr>
                <w:rFonts w:hint="default" w:eastAsia="仿宋"/>
                <w:color w:val="000000"/>
                <w:kern w:val="0"/>
                <w:szCs w:val="21"/>
                <w:lang w:val="en-US" w:eastAsia="zh-CN"/>
              </w:rPr>
            </w:pPr>
            <w:r>
              <w:rPr>
                <w:rFonts w:hint="eastAsia" w:eastAsia="仿宋"/>
                <w:color w:val="000000"/>
                <w:kern w:val="0"/>
                <w:szCs w:val="21"/>
                <w:lang w:val="en-US" w:eastAsia="zh-CN"/>
              </w:rPr>
              <w:t>刘朝晖</w:t>
            </w:r>
          </w:p>
        </w:tc>
        <w:tc>
          <w:tcPr>
            <w:tcW w:w="1245" w:type="pct"/>
            <w:vMerge w:val="restart"/>
            <w:tcBorders>
              <w:left w:val="single" w:color="auto" w:sz="4" w:space="0"/>
              <w:right w:val="single" w:color="auto" w:sz="4" w:space="0"/>
            </w:tcBorders>
            <w:noWrap w:val="0"/>
            <w:vAlign w:val="center"/>
          </w:tcPr>
          <w:p>
            <w:pPr>
              <w:widowControl/>
              <w:jc w:val="center"/>
              <w:rPr>
                <w:rFonts w:hint="eastAsia" w:eastAsia="仿宋"/>
                <w:color w:val="000000"/>
                <w:kern w:val="0"/>
                <w:szCs w:val="21"/>
                <w:lang w:val="en-US" w:eastAsia="zh-CN"/>
              </w:rPr>
            </w:pPr>
            <w:r>
              <w:rPr>
                <w:rFonts w:hint="eastAsia" w:eastAsia="仿宋"/>
                <w:color w:val="000000"/>
                <w:kern w:val="0"/>
                <w:szCs w:val="21"/>
                <w:lang w:val="en-US" w:eastAsia="zh-CN"/>
              </w:rPr>
              <w:t>郑 建</w:t>
            </w:r>
          </w:p>
          <w:p>
            <w:pPr>
              <w:widowControl/>
              <w:jc w:val="center"/>
              <w:rPr>
                <w:rFonts w:hint="default" w:eastAsia="仿宋"/>
                <w:color w:val="000000"/>
                <w:kern w:val="0"/>
                <w:szCs w:val="21"/>
                <w:lang w:val="en-US" w:eastAsia="zh-CN"/>
              </w:rPr>
            </w:pPr>
            <w:r>
              <w:rPr>
                <w:rFonts w:hint="eastAsia" w:eastAsia="仿宋"/>
                <w:color w:val="000000"/>
                <w:kern w:val="0"/>
                <w:szCs w:val="21"/>
                <w:lang w:val="en-US" w:eastAsia="zh-CN"/>
              </w:rPr>
              <w:t>吕 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183" w:type="pct"/>
            <w:vMerge w:val="continue"/>
            <w:tcBorders>
              <w:left w:val="single" w:color="auto" w:sz="4" w:space="0"/>
              <w:right w:val="single" w:color="auto" w:sz="4" w:space="0"/>
            </w:tcBorders>
            <w:noWrap w:val="0"/>
            <w:vAlign w:val="center"/>
          </w:tcPr>
          <w:p>
            <w:pPr>
              <w:widowControl/>
              <w:rPr>
                <w:rFonts w:eastAsia="仿宋"/>
                <w:color w:val="000000"/>
                <w:kern w:val="0"/>
                <w:szCs w:val="21"/>
              </w:rPr>
            </w:pPr>
          </w:p>
        </w:tc>
        <w:tc>
          <w:tcPr>
            <w:tcW w:w="1805" w:type="pct"/>
            <w:tcBorders>
              <w:top w:val="single" w:color="auto" w:sz="4" w:space="0"/>
              <w:left w:val="single" w:color="auto" w:sz="4" w:space="0"/>
              <w:bottom w:val="single" w:color="auto" w:sz="4" w:space="0"/>
              <w:right w:val="single" w:color="auto" w:sz="4" w:space="0"/>
            </w:tcBorders>
            <w:noWrap w:val="0"/>
            <w:vAlign w:val="center"/>
          </w:tcPr>
          <w:p>
            <w:pPr>
              <w:widowControl/>
              <w:rPr>
                <w:rFonts w:hint="default" w:eastAsia="仿宋"/>
                <w:color w:val="000000"/>
                <w:kern w:val="0"/>
                <w:szCs w:val="21"/>
                <w:lang w:val="en-US" w:eastAsia="zh-CN"/>
              </w:rPr>
            </w:pPr>
            <w:r>
              <w:rPr>
                <w:rFonts w:hint="eastAsia" w:eastAsia="仿宋"/>
                <w:color w:val="000000"/>
                <w:kern w:val="0"/>
                <w:szCs w:val="21"/>
                <w:lang w:val="en-US" w:eastAsia="zh-CN"/>
              </w:rPr>
              <w:t>8.2 水泥混凝土拌和</w:t>
            </w:r>
          </w:p>
        </w:tc>
        <w:tc>
          <w:tcPr>
            <w:tcW w:w="766" w:type="pct"/>
            <w:vMerge w:val="continue"/>
            <w:tcBorders>
              <w:left w:val="single" w:color="auto" w:sz="4" w:space="0"/>
              <w:right w:val="single" w:color="auto" w:sz="4" w:space="0"/>
            </w:tcBorders>
            <w:noWrap w:val="0"/>
            <w:vAlign w:val="center"/>
          </w:tcPr>
          <w:p>
            <w:pPr>
              <w:widowControl/>
              <w:jc w:val="center"/>
              <w:rPr>
                <w:rFonts w:hint="eastAsia" w:eastAsia="仿宋"/>
                <w:color w:val="000000"/>
                <w:kern w:val="0"/>
                <w:szCs w:val="21"/>
                <w:lang w:val="en-US" w:eastAsia="zh-CN"/>
              </w:rPr>
            </w:pPr>
          </w:p>
        </w:tc>
        <w:tc>
          <w:tcPr>
            <w:tcW w:w="1245" w:type="pct"/>
            <w:vMerge w:val="continue"/>
            <w:tcBorders>
              <w:left w:val="single" w:color="auto" w:sz="4" w:space="0"/>
              <w:right w:val="single" w:color="auto" w:sz="4" w:space="0"/>
            </w:tcBorders>
            <w:noWrap w:val="0"/>
            <w:vAlign w:val="center"/>
          </w:tcPr>
          <w:p>
            <w:pPr>
              <w:widowControl/>
              <w:jc w:val="center"/>
              <w:rPr>
                <w:rFonts w:eastAsia="仿宋"/>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1183" w:type="pct"/>
            <w:vMerge w:val="continue"/>
            <w:tcBorders>
              <w:left w:val="single" w:color="auto" w:sz="4" w:space="0"/>
              <w:right w:val="single" w:color="auto" w:sz="4" w:space="0"/>
            </w:tcBorders>
            <w:noWrap w:val="0"/>
            <w:vAlign w:val="center"/>
          </w:tcPr>
          <w:p>
            <w:pPr>
              <w:widowControl/>
              <w:rPr>
                <w:rFonts w:eastAsia="仿宋"/>
                <w:color w:val="000000"/>
                <w:kern w:val="0"/>
                <w:szCs w:val="21"/>
              </w:rPr>
            </w:pPr>
          </w:p>
        </w:tc>
        <w:tc>
          <w:tcPr>
            <w:tcW w:w="1805" w:type="pct"/>
            <w:tcBorders>
              <w:top w:val="single" w:color="auto" w:sz="4" w:space="0"/>
              <w:left w:val="single" w:color="auto" w:sz="4" w:space="0"/>
              <w:bottom w:val="single" w:color="auto" w:sz="4" w:space="0"/>
              <w:right w:val="single" w:color="auto" w:sz="4" w:space="0"/>
            </w:tcBorders>
            <w:noWrap w:val="0"/>
            <w:vAlign w:val="center"/>
          </w:tcPr>
          <w:p>
            <w:pPr>
              <w:widowControl/>
              <w:rPr>
                <w:rFonts w:hint="default" w:eastAsia="仿宋"/>
                <w:color w:val="000000"/>
                <w:kern w:val="0"/>
                <w:szCs w:val="21"/>
                <w:lang w:val="en-US" w:eastAsia="zh-CN"/>
              </w:rPr>
            </w:pPr>
            <w:r>
              <w:rPr>
                <w:rFonts w:hint="eastAsia" w:eastAsia="仿宋"/>
                <w:color w:val="000000"/>
                <w:kern w:val="0"/>
                <w:szCs w:val="21"/>
                <w:lang w:val="en-US" w:eastAsia="zh-CN"/>
              </w:rPr>
              <w:t>8.3 水泥混凝土构件预制</w:t>
            </w:r>
          </w:p>
        </w:tc>
        <w:tc>
          <w:tcPr>
            <w:tcW w:w="766" w:type="pct"/>
            <w:vMerge w:val="continue"/>
            <w:tcBorders>
              <w:left w:val="single" w:color="auto" w:sz="4" w:space="0"/>
              <w:right w:val="single" w:color="auto" w:sz="4" w:space="0"/>
            </w:tcBorders>
            <w:noWrap w:val="0"/>
            <w:vAlign w:val="center"/>
          </w:tcPr>
          <w:p>
            <w:pPr>
              <w:widowControl/>
              <w:jc w:val="center"/>
              <w:rPr>
                <w:rFonts w:hint="eastAsia" w:eastAsia="仿宋"/>
                <w:color w:val="000000"/>
                <w:kern w:val="0"/>
                <w:szCs w:val="21"/>
                <w:lang w:val="en-US" w:eastAsia="zh-CN"/>
              </w:rPr>
            </w:pPr>
          </w:p>
        </w:tc>
        <w:tc>
          <w:tcPr>
            <w:tcW w:w="1245" w:type="pct"/>
            <w:vMerge w:val="continue"/>
            <w:tcBorders>
              <w:left w:val="single" w:color="auto" w:sz="4" w:space="0"/>
              <w:right w:val="single" w:color="auto" w:sz="4" w:space="0"/>
            </w:tcBorders>
            <w:noWrap w:val="0"/>
            <w:vAlign w:val="center"/>
          </w:tcPr>
          <w:p>
            <w:pPr>
              <w:widowControl/>
              <w:jc w:val="center"/>
              <w:rPr>
                <w:rFonts w:eastAsia="仿宋"/>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183" w:type="pct"/>
            <w:vMerge w:val="continue"/>
            <w:tcBorders>
              <w:left w:val="single" w:color="auto" w:sz="4" w:space="0"/>
              <w:right w:val="single" w:color="auto" w:sz="4" w:space="0"/>
            </w:tcBorders>
            <w:noWrap w:val="0"/>
            <w:vAlign w:val="center"/>
          </w:tcPr>
          <w:p>
            <w:pPr>
              <w:widowControl/>
            </w:pPr>
          </w:p>
          <w:p>
            <w:pPr>
              <w:pStyle w:val="2"/>
              <w:rPr>
                <w:rFonts w:eastAsia="仿宋"/>
                <w:color w:val="000000"/>
                <w:kern w:val="0"/>
                <w:szCs w:val="21"/>
              </w:rPr>
            </w:pPr>
          </w:p>
          <w:p>
            <w:pPr>
              <w:pStyle w:val="2"/>
              <w:rPr>
                <w:rFonts w:eastAsia="仿宋"/>
                <w:color w:val="000000"/>
                <w:kern w:val="0"/>
                <w:szCs w:val="21"/>
              </w:rPr>
            </w:pPr>
          </w:p>
          <w:p>
            <w:pPr>
              <w:pStyle w:val="2"/>
              <w:rPr>
                <w:rFonts w:eastAsia="仿宋"/>
                <w:color w:val="000000"/>
                <w:kern w:val="0"/>
                <w:szCs w:val="21"/>
              </w:rPr>
            </w:pPr>
          </w:p>
          <w:p>
            <w:pPr>
              <w:pStyle w:val="2"/>
              <w:rPr>
                <w:rFonts w:eastAsia="仿宋"/>
                <w:color w:val="000000"/>
                <w:kern w:val="0"/>
                <w:szCs w:val="21"/>
              </w:rPr>
            </w:pPr>
          </w:p>
          <w:p>
            <w:pPr>
              <w:pStyle w:val="2"/>
              <w:rPr>
                <w:rFonts w:eastAsia="仿宋"/>
                <w:color w:val="000000"/>
                <w:kern w:val="0"/>
                <w:szCs w:val="21"/>
              </w:rPr>
            </w:pPr>
          </w:p>
        </w:tc>
        <w:tc>
          <w:tcPr>
            <w:tcW w:w="1805" w:type="pct"/>
            <w:tcBorders>
              <w:top w:val="single" w:color="auto" w:sz="4" w:space="0"/>
              <w:left w:val="single" w:color="auto" w:sz="4" w:space="0"/>
              <w:bottom w:val="single" w:color="auto" w:sz="4" w:space="0"/>
              <w:right w:val="single" w:color="auto" w:sz="4" w:space="0"/>
            </w:tcBorders>
            <w:noWrap w:val="0"/>
            <w:vAlign w:val="center"/>
          </w:tcPr>
          <w:p>
            <w:pPr>
              <w:widowControl/>
              <w:rPr>
                <w:rFonts w:hint="default" w:eastAsia="仿宋"/>
                <w:color w:val="000000"/>
                <w:kern w:val="0"/>
                <w:szCs w:val="21"/>
                <w:lang w:val="en-US" w:eastAsia="zh-CN"/>
              </w:rPr>
            </w:pPr>
            <w:r>
              <w:rPr>
                <w:rFonts w:hint="eastAsia" w:eastAsia="仿宋"/>
                <w:color w:val="000000"/>
                <w:kern w:val="0"/>
                <w:szCs w:val="21"/>
                <w:lang w:val="en-US" w:eastAsia="zh-CN"/>
              </w:rPr>
              <w:t>8.4 钢结构构件预制</w:t>
            </w:r>
          </w:p>
        </w:tc>
        <w:tc>
          <w:tcPr>
            <w:tcW w:w="766" w:type="pct"/>
            <w:vMerge w:val="continue"/>
            <w:tcBorders>
              <w:left w:val="single" w:color="auto" w:sz="4" w:space="0"/>
              <w:right w:val="single" w:color="auto" w:sz="4" w:space="0"/>
            </w:tcBorders>
            <w:noWrap w:val="0"/>
            <w:vAlign w:val="center"/>
          </w:tcPr>
          <w:p>
            <w:pPr>
              <w:widowControl/>
              <w:jc w:val="center"/>
              <w:rPr>
                <w:rFonts w:hint="eastAsia" w:eastAsia="仿宋"/>
                <w:color w:val="000000"/>
                <w:kern w:val="0"/>
                <w:szCs w:val="21"/>
                <w:lang w:val="en-US" w:eastAsia="zh-CN"/>
              </w:rPr>
            </w:pPr>
          </w:p>
        </w:tc>
        <w:tc>
          <w:tcPr>
            <w:tcW w:w="1245" w:type="pct"/>
            <w:vMerge w:val="continue"/>
            <w:tcBorders>
              <w:left w:val="single" w:color="auto" w:sz="4" w:space="0"/>
              <w:right w:val="single" w:color="auto" w:sz="4" w:space="0"/>
            </w:tcBorders>
            <w:noWrap w:val="0"/>
            <w:vAlign w:val="center"/>
          </w:tcPr>
          <w:p>
            <w:pPr>
              <w:widowControl/>
              <w:jc w:val="center"/>
              <w:rPr>
                <w:rFonts w:eastAsia="仿宋"/>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183" w:type="pct"/>
            <w:vMerge w:val="continue"/>
            <w:tcBorders>
              <w:left w:val="single" w:color="auto" w:sz="4" w:space="0"/>
              <w:right w:val="single" w:color="auto" w:sz="4" w:space="0"/>
            </w:tcBorders>
            <w:noWrap w:val="0"/>
            <w:vAlign w:val="center"/>
          </w:tcPr>
          <w:p>
            <w:pPr>
              <w:pStyle w:val="2"/>
              <w:rPr>
                <w:rFonts w:eastAsia="仿宋"/>
                <w:color w:val="000000"/>
                <w:kern w:val="0"/>
                <w:szCs w:val="21"/>
              </w:rPr>
            </w:pPr>
          </w:p>
        </w:tc>
        <w:tc>
          <w:tcPr>
            <w:tcW w:w="1805" w:type="pct"/>
            <w:tcBorders>
              <w:top w:val="single" w:color="auto" w:sz="4" w:space="0"/>
              <w:left w:val="single" w:color="auto" w:sz="4" w:space="0"/>
              <w:bottom w:val="single" w:color="auto" w:sz="4" w:space="0"/>
              <w:right w:val="single" w:color="auto" w:sz="4" w:space="0"/>
            </w:tcBorders>
            <w:noWrap w:val="0"/>
            <w:vAlign w:val="center"/>
          </w:tcPr>
          <w:p>
            <w:pPr>
              <w:widowControl/>
              <w:rPr>
                <w:rFonts w:hint="default" w:eastAsia="仿宋"/>
                <w:color w:val="000000"/>
                <w:kern w:val="0"/>
                <w:szCs w:val="21"/>
                <w:lang w:val="en-US" w:eastAsia="zh-CN"/>
              </w:rPr>
            </w:pPr>
            <w:r>
              <w:rPr>
                <w:rFonts w:hint="eastAsia" w:eastAsia="仿宋"/>
                <w:color w:val="000000"/>
                <w:kern w:val="0"/>
                <w:szCs w:val="21"/>
                <w:lang w:val="en-US" w:eastAsia="zh-CN"/>
              </w:rPr>
              <w:t>8.5 桥梁装配化施工</w:t>
            </w:r>
          </w:p>
        </w:tc>
        <w:tc>
          <w:tcPr>
            <w:tcW w:w="766" w:type="pct"/>
            <w:vMerge w:val="continue"/>
            <w:tcBorders>
              <w:left w:val="single" w:color="auto" w:sz="4" w:space="0"/>
              <w:right w:val="single" w:color="auto" w:sz="4" w:space="0"/>
            </w:tcBorders>
            <w:noWrap w:val="0"/>
            <w:vAlign w:val="center"/>
          </w:tcPr>
          <w:p>
            <w:pPr>
              <w:widowControl/>
              <w:jc w:val="center"/>
              <w:rPr>
                <w:rFonts w:hint="eastAsia" w:eastAsia="仿宋"/>
                <w:color w:val="000000"/>
                <w:kern w:val="0"/>
                <w:szCs w:val="21"/>
                <w:lang w:val="en-US" w:eastAsia="zh-CN"/>
              </w:rPr>
            </w:pPr>
          </w:p>
        </w:tc>
        <w:tc>
          <w:tcPr>
            <w:tcW w:w="1245" w:type="pct"/>
            <w:vMerge w:val="continue"/>
            <w:tcBorders>
              <w:left w:val="single" w:color="auto" w:sz="4" w:space="0"/>
              <w:right w:val="single" w:color="auto" w:sz="4" w:space="0"/>
            </w:tcBorders>
            <w:noWrap w:val="0"/>
            <w:vAlign w:val="center"/>
          </w:tcPr>
          <w:p>
            <w:pPr>
              <w:widowControl/>
              <w:jc w:val="center"/>
              <w:rPr>
                <w:rFonts w:eastAsia="仿宋"/>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183" w:type="pct"/>
            <w:vMerge w:val="continue"/>
            <w:tcBorders>
              <w:left w:val="single" w:color="auto" w:sz="4" w:space="0"/>
              <w:right w:val="single" w:color="auto" w:sz="4" w:space="0"/>
            </w:tcBorders>
            <w:noWrap w:val="0"/>
            <w:vAlign w:val="center"/>
          </w:tcPr>
          <w:p>
            <w:pPr>
              <w:widowControl/>
              <w:rPr>
                <w:rFonts w:eastAsia="仿宋"/>
                <w:color w:val="000000"/>
                <w:kern w:val="0"/>
                <w:szCs w:val="21"/>
              </w:rPr>
            </w:pPr>
          </w:p>
        </w:tc>
        <w:tc>
          <w:tcPr>
            <w:tcW w:w="1805" w:type="pct"/>
            <w:tcBorders>
              <w:top w:val="single" w:color="auto" w:sz="4" w:space="0"/>
              <w:left w:val="single" w:color="auto" w:sz="4" w:space="0"/>
              <w:bottom w:val="single" w:color="auto" w:sz="4" w:space="0"/>
              <w:right w:val="single" w:color="auto" w:sz="4" w:space="0"/>
            </w:tcBorders>
            <w:noWrap w:val="0"/>
            <w:vAlign w:val="center"/>
          </w:tcPr>
          <w:p>
            <w:pPr>
              <w:widowControl/>
              <w:rPr>
                <w:rFonts w:hint="default" w:eastAsia="仿宋"/>
                <w:color w:val="000000"/>
                <w:kern w:val="0"/>
                <w:szCs w:val="21"/>
                <w:lang w:val="en-US" w:eastAsia="zh-CN"/>
              </w:rPr>
            </w:pPr>
            <w:r>
              <w:rPr>
                <w:rFonts w:hint="eastAsia" w:eastAsia="仿宋"/>
                <w:color w:val="000000"/>
                <w:kern w:val="0"/>
                <w:szCs w:val="21"/>
                <w:lang w:val="en-US" w:eastAsia="zh-CN"/>
              </w:rPr>
              <w:t>8.6 钢筋部品化生产</w:t>
            </w:r>
          </w:p>
        </w:tc>
        <w:tc>
          <w:tcPr>
            <w:tcW w:w="766" w:type="pct"/>
            <w:vMerge w:val="continue"/>
            <w:tcBorders>
              <w:left w:val="single" w:color="auto" w:sz="4" w:space="0"/>
              <w:right w:val="single" w:color="auto" w:sz="4" w:space="0"/>
            </w:tcBorders>
            <w:noWrap w:val="0"/>
            <w:vAlign w:val="center"/>
          </w:tcPr>
          <w:p>
            <w:pPr>
              <w:widowControl/>
              <w:jc w:val="center"/>
              <w:rPr>
                <w:rFonts w:eastAsia="仿宋"/>
                <w:color w:val="000000"/>
                <w:kern w:val="0"/>
                <w:szCs w:val="21"/>
              </w:rPr>
            </w:pPr>
          </w:p>
        </w:tc>
        <w:tc>
          <w:tcPr>
            <w:tcW w:w="1245" w:type="pct"/>
            <w:vMerge w:val="continue"/>
            <w:tcBorders>
              <w:left w:val="single" w:color="auto" w:sz="4" w:space="0"/>
              <w:right w:val="single" w:color="auto" w:sz="4" w:space="0"/>
            </w:tcBorders>
            <w:noWrap w:val="0"/>
            <w:vAlign w:val="center"/>
          </w:tcPr>
          <w:p>
            <w:pPr>
              <w:widowControl/>
              <w:jc w:val="center"/>
              <w:rPr>
                <w:rFonts w:eastAsia="仿宋"/>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 w:hRule="atLeast"/>
          <w:jc w:val="center"/>
        </w:trPr>
        <w:tc>
          <w:tcPr>
            <w:tcW w:w="1183" w:type="pct"/>
            <w:vMerge w:val="restart"/>
            <w:tcBorders>
              <w:left w:val="single" w:color="auto" w:sz="4" w:space="0"/>
              <w:right w:val="single" w:color="auto" w:sz="4" w:space="0"/>
            </w:tcBorders>
            <w:noWrap w:val="0"/>
            <w:vAlign w:val="center"/>
          </w:tcPr>
          <w:p>
            <w:pPr>
              <w:widowControl/>
              <w:rPr>
                <w:rFonts w:hint="default" w:eastAsia="仿宋"/>
                <w:color w:val="000000"/>
                <w:kern w:val="0"/>
                <w:szCs w:val="21"/>
                <w:lang w:val="en-US" w:eastAsia="zh-CN"/>
              </w:rPr>
            </w:pPr>
            <w:r>
              <w:rPr>
                <w:rFonts w:eastAsia="仿宋"/>
                <w:color w:val="000000"/>
                <w:kern w:val="0"/>
                <w:szCs w:val="21"/>
              </w:rPr>
              <w:t xml:space="preserve">9 </w:t>
            </w:r>
            <w:r>
              <w:rPr>
                <w:rFonts w:hint="eastAsia" w:eastAsia="仿宋"/>
                <w:color w:val="000000"/>
                <w:kern w:val="0"/>
                <w:szCs w:val="21"/>
                <w:lang w:val="en-US" w:eastAsia="zh-CN"/>
              </w:rPr>
              <w:t>隧道施工模块</w:t>
            </w:r>
          </w:p>
        </w:tc>
        <w:tc>
          <w:tcPr>
            <w:tcW w:w="1805" w:type="pct"/>
            <w:tcBorders>
              <w:top w:val="single" w:color="auto" w:sz="4" w:space="0"/>
              <w:left w:val="single" w:color="auto" w:sz="4" w:space="0"/>
              <w:bottom w:val="single" w:color="auto" w:sz="4" w:space="0"/>
              <w:right w:val="single" w:color="auto" w:sz="4" w:space="0"/>
            </w:tcBorders>
            <w:noWrap w:val="0"/>
            <w:vAlign w:val="center"/>
          </w:tcPr>
          <w:p>
            <w:pPr>
              <w:widowControl/>
              <w:rPr>
                <w:rFonts w:hint="default" w:eastAsia="仿宋"/>
                <w:color w:val="000000"/>
                <w:kern w:val="0"/>
                <w:szCs w:val="21"/>
                <w:lang w:val="en-US" w:eastAsia="zh-CN"/>
              </w:rPr>
            </w:pPr>
            <w:r>
              <w:rPr>
                <w:rFonts w:hint="eastAsia" w:eastAsia="仿宋"/>
                <w:color w:val="000000"/>
                <w:kern w:val="0"/>
                <w:szCs w:val="21"/>
                <w:lang w:val="en-US" w:eastAsia="zh-CN"/>
              </w:rPr>
              <w:t>9.1 一般规定</w:t>
            </w:r>
          </w:p>
        </w:tc>
        <w:tc>
          <w:tcPr>
            <w:tcW w:w="766" w:type="pct"/>
            <w:vMerge w:val="restart"/>
            <w:tcBorders>
              <w:left w:val="single" w:color="auto" w:sz="4" w:space="0"/>
              <w:right w:val="single" w:color="auto" w:sz="4" w:space="0"/>
            </w:tcBorders>
            <w:noWrap w:val="0"/>
            <w:vAlign w:val="center"/>
          </w:tcPr>
          <w:p>
            <w:pPr>
              <w:widowControl/>
              <w:jc w:val="center"/>
              <w:rPr>
                <w:rFonts w:eastAsia="仿宋"/>
                <w:color w:val="000000"/>
                <w:kern w:val="0"/>
                <w:szCs w:val="21"/>
              </w:rPr>
            </w:pPr>
            <w:r>
              <w:rPr>
                <w:rFonts w:hint="eastAsia" w:eastAsia="仿宋"/>
                <w:color w:val="000000"/>
                <w:kern w:val="0"/>
                <w:szCs w:val="21"/>
                <w:lang w:val="en-US" w:eastAsia="zh-CN"/>
              </w:rPr>
              <w:t>刘 强</w:t>
            </w:r>
          </w:p>
        </w:tc>
        <w:tc>
          <w:tcPr>
            <w:tcW w:w="1245" w:type="pct"/>
            <w:vMerge w:val="restart"/>
            <w:tcBorders>
              <w:left w:val="single" w:color="auto" w:sz="4" w:space="0"/>
              <w:right w:val="single" w:color="auto" w:sz="4" w:space="0"/>
            </w:tcBorders>
            <w:noWrap w:val="0"/>
            <w:vAlign w:val="center"/>
          </w:tcPr>
          <w:p>
            <w:pPr>
              <w:widowControl/>
              <w:jc w:val="center"/>
              <w:rPr>
                <w:rFonts w:hint="eastAsia" w:eastAsia="仿宋"/>
                <w:color w:val="000000"/>
                <w:kern w:val="0"/>
                <w:szCs w:val="21"/>
                <w:lang w:val="en-US" w:eastAsia="zh-CN"/>
              </w:rPr>
            </w:pPr>
            <w:r>
              <w:rPr>
                <w:rFonts w:hint="eastAsia" w:eastAsia="仿宋"/>
                <w:color w:val="000000"/>
                <w:kern w:val="0"/>
                <w:szCs w:val="21"/>
                <w:lang w:val="en-US" w:eastAsia="zh-CN"/>
              </w:rPr>
              <w:t>孙雪伟</w:t>
            </w:r>
          </w:p>
          <w:p>
            <w:pPr>
              <w:widowControl/>
              <w:jc w:val="center"/>
              <w:rPr>
                <w:rFonts w:hint="eastAsia" w:eastAsia="仿宋"/>
                <w:color w:val="000000"/>
                <w:kern w:val="0"/>
                <w:szCs w:val="21"/>
                <w:lang w:val="en-US" w:eastAsia="zh-CN"/>
              </w:rPr>
            </w:pPr>
            <w:r>
              <w:rPr>
                <w:rFonts w:hint="eastAsia" w:eastAsia="仿宋"/>
                <w:color w:val="000000"/>
                <w:kern w:val="0"/>
                <w:szCs w:val="21"/>
                <w:lang w:val="en-US" w:eastAsia="zh-CN"/>
              </w:rPr>
              <w:t>张韩帅</w:t>
            </w:r>
          </w:p>
          <w:p>
            <w:pPr>
              <w:widowControl/>
              <w:jc w:val="center"/>
              <w:rPr>
                <w:rFonts w:hint="default" w:eastAsia="仿宋"/>
                <w:color w:val="000000"/>
                <w:kern w:val="0"/>
                <w:szCs w:val="21"/>
                <w:lang w:val="en-US" w:eastAsia="zh-CN"/>
              </w:rPr>
            </w:pPr>
            <w:r>
              <w:rPr>
                <w:rFonts w:hint="eastAsia" w:eastAsia="仿宋"/>
                <w:color w:val="000000"/>
                <w:kern w:val="0"/>
                <w:szCs w:val="21"/>
                <w:lang w:val="en-US" w:eastAsia="zh-CN"/>
              </w:rPr>
              <w:t>郑 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 w:hRule="atLeast"/>
          <w:jc w:val="center"/>
        </w:trPr>
        <w:tc>
          <w:tcPr>
            <w:tcW w:w="1183" w:type="pct"/>
            <w:vMerge w:val="continue"/>
            <w:tcBorders>
              <w:left w:val="single" w:color="auto" w:sz="4" w:space="0"/>
              <w:right w:val="single" w:color="auto" w:sz="4" w:space="0"/>
            </w:tcBorders>
            <w:noWrap w:val="0"/>
            <w:vAlign w:val="center"/>
          </w:tcPr>
          <w:p>
            <w:pPr>
              <w:widowControl/>
            </w:pPr>
          </w:p>
        </w:tc>
        <w:tc>
          <w:tcPr>
            <w:tcW w:w="1805" w:type="pct"/>
            <w:tcBorders>
              <w:top w:val="single" w:color="auto" w:sz="4" w:space="0"/>
              <w:left w:val="single" w:color="auto" w:sz="4" w:space="0"/>
              <w:bottom w:val="single" w:color="auto" w:sz="4" w:space="0"/>
              <w:right w:val="single" w:color="auto" w:sz="4" w:space="0"/>
            </w:tcBorders>
            <w:noWrap w:val="0"/>
            <w:vAlign w:val="center"/>
          </w:tcPr>
          <w:p>
            <w:pPr>
              <w:widowControl/>
              <w:rPr>
                <w:rFonts w:hint="default" w:eastAsia="仿宋"/>
                <w:color w:val="000000"/>
                <w:kern w:val="0"/>
                <w:szCs w:val="21"/>
                <w:lang w:val="en-US" w:eastAsia="zh-CN"/>
              </w:rPr>
            </w:pPr>
            <w:r>
              <w:rPr>
                <w:rFonts w:hint="eastAsia" w:eastAsia="仿宋"/>
                <w:color w:val="000000"/>
                <w:kern w:val="0"/>
                <w:szCs w:val="21"/>
                <w:lang w:val="en-US" w:eastAsia="zh-CN"/>
              </w:rPr>
              <w:t>9.2 矿山法隧道施工</w:t>
            </w:r>
          </w:p>
        </w:tc>
        <w:tc>
          <w:tcPr>
            <w:tcW w:w="766" w:type="pct"/>
            <w:vMerge w:val="continue"/>
            <w:tcBorders>
              <w:left w:val="single" w:color="auto" w:sz="4" w:space="0"/>
              <w:right w:val="single" w:color="auto" w:sz="4" w:space="0"/>
            </w:tcBorders>
            <w:noWrap w:val="0"/>
            <w:vAlign w:val="center"/>
          </w:tcPr>
          <w:p>
            <w:pPr>
              <w:widowControl/>
              <w:jc w:val="center"/>
              <w:rPr>
                <w:rFonts w:eastAsia="仿宋"/>
                <w:color w:val="000000"/>
                <w:kern w:val="0"/>
                <w:szCs w:val="21"/>
              </w:rPr>
            </w:pPr>
          </w:p>
        </w:tc>
        <w:tc>
          <w:tcPr>
            <w:tcW w:w="1245" w:type="pct"/>
            <w:vMerge w:val="continue"/>
            <w:tcBorders>
              <w:left w:val="single" w:color="auto" w:sz="4" w:space="0"/>
              <w:right w:val="single" w:color="auto" w:sz="4" w:space="0"/>
            </w:tcBorders>
            <w:noWrap w:val="0"/>
            <w:vAlign w:val="center"/>
          </w:tcPr>
          <w:p>
            <w:pPr>
              <w:widowControl/>
              <w:jc w:val="center"/>
              <w:rPr>
                <w:rFonts w:hint="eastAsia" w:eastAsia="仿宋"/>
                <w:color w:val="000000"/>
                <w:kern w:val="0"/>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 w:hRule="atLeast"/>
          <w:jc w:val="center"/>
        </w:trPr>
        <w:tc>
          <w:tcPr>
            <w:tcW w:w="1183" w:type="pct"/>
            <w:vMerge w:val="continue"/>
            <w:tcBorders>
              <w:left w:val="single" w:color="auto" w:sz="4" w:space="0"/>
              <w:right w:val="single" w:color="auto" w:sz="4" w:space="0"/>
            </w:tcBorders>
            <w:noWrap w:val="0"/>
            <w:vAlign w:val="center"/>
          </w:tcPr>
          <w:p>
            <w:pPr>
              <w:widowControl/>
              <w:rPr>
                <w:rFonts w:eastAsia="仿宋"/>
                <w:color w:val="000000"/>
                <w:kern w:val="0"/>
                <w:szCs w:val="21"/>
              </w:rPr>
            </w:pPr>
          </w:p>
        </w:tc>
        <w:tc>
          <w:tcPr>
            <w:tcW w:w="1805" w:type="pct"/>
            <w:tcBorders>
              <w:top w:val="single" w:color="auto" w:sz="4" w:space="0"/>
              <w:left w:val="single" w:color="auto" w:sz="4" w:space="0"/>
              <w:bottom w:val="single" w:color="auto" w:sz="4" w:space="0"/>
              <w:right w:val="single" w:color="auto" w:sz="4" w:space="0"/>
            </w:tcBorders>
            <w:noWrap w:val="0"/>
            <w:vAlign w:val="center"/>
          </w:tcPr>
          <w:p>
            <w:pPr>
              <w:widowControl/>
              <w:rPr>
                <w:rFonts w:hint="default" w:eastAsia="仿宋"/>
                <w:color w:val="000000"/>
                <w:kern w:val="0"/>
                <w:szCs w:val="21"/>
                <w:lang w:val="en-US" w:eastAsia="zh-CN"/>
              </w:rPr>
            </w:pPr>
            <w:r>
              <w:rPr>
                <w:rFonts w:hint="eastAsia" w:eastAsia="仿宋"/>
                <w:color w:val="000000"/>
                <w:kern w:val="0"/>
                <w:szCs w:val="21"/>
                <w:lang w:val="en-US" w:eastAsia="zh-CN"/>
              </w:rPr>
              <w:t>9.3 堰筑法隧道施工</w:t>
            </w:r>
          </w:p>
        </w:tc>
        <w:tc>
          <w:tcPr>
            <w:tcW w:w="766" w:type="pct"/>
            <w:vMerge w:val="continue"/>
            <w:tcBorders>
              <w:left w:val="single" w:color="auto" w:sz="4" w:space="0"/>
              <w:right w:val="single" w:color="auto" w:sz="4" w:space="0"/>
            </w:tcBorders>
            <w:noWrap w:val="0"/>
            <w:vAlign w:val="center"/>
          </w:tcPr>
          <w:p>
            <w:pPr>
              <w:widowControl/>
              <w:jc w:val="center"/>
              <w:rPr>
                <w:rFonts w:eastAsia="仿宋"/>
                <w:color w:val="000000"/>
                <w:kern w:val="0"/>
                <w:szCs w:val="21"/>
              </w:rPr>
            </w:pPr>
          </w:p>
        </w:tc>
        <w:tc>
          <w:tcPr>
            <w:tcW w:w="1245" w:type="pct"/>
            <w:vMerge w:val="continue"/>
            <w:tcBorders>
              <w:left w:val="single" w:color="auto" w:sz="4" w:space="0"/>
              <w:right w:val="single" w:color="auto" w:sz="4" w:space="0"/>
            </w:tcBorders>
            <w:noWrap w:val="0"/>
            <w:vAlign w:val="center"/>
          </w:tcPr>
          <w:p>
            <w:pPr>
              <w:widowControl/>
              <w:jc w:val="center"/>
              <w:rPr>
                <w:rFonts w:hint="eastAsia" w:eastAsia="仿宋"/>
                <w:color w:val="000000"/>
                <w:kern w:val="0"/>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 w:hRule="atLeast"/>
          <w:jc w:val="center"/>
        </w:trPr>
        <w:tc>
          <w:tcPr>
            <w:tcW w:w="1183" w:type="pct"/>
            <w:vMerge w:val="continue"/>
            <w:tcBorders>
              <w:left w:val="single" w:color="auto" w:sz="4" w:space="0"/>
              <w:right w:val="single" w:color="auto" w:sz="4" w:space="0"/>
            </w:tcBorders>
            <w:noWrap w:val="0"/>
            <w:vAlign w:val="center"/>
          </w:tcPr>
          <w:p>
            <w:pPr>
              <w:widowControl/>
              <w:rPr>
                <w:rFonts w:eastAsia="仿宋"/>
                <w:color w:val="000000"/>
                <w:kern w:val="0"/>
                <w:szCs w:val="21"/>
              </w:rPr>
            </w:pPr>
          </w:p>
        </w:tc>
        <w:tc>
          <w:tcPr>
            <w:tcW w:w="1805" w:type="pct"/>
            <w:tcBorders>
              <w:top w:val="single" w:color="auto" w:sz="4" w:space="0"/>
              <w:left w:val="single" w:color="auto" w:sz="4" w:space="0"/>
              <w:bottom w:val="single" w:color="auto" w:sz="4" w:space="0"/>
              <w:right w:val="single" w:color="auto" w:sz="4" w:space="0"/>
            </w:tcBorders>
            <w:noWrap w:val="0"/>
            <w:vAlign w:val="center"/>
          </w:tcPr>
          <w:p>
            <w:pPr>
              <w:widowControl/>
              <w:rPr>
                <w:rFonts w:hint="default" w:eastAsia="仿宋"/>
                <w:color w:val="000000"/>
                <w:kern w:val="0"/>
                <w:szCs w:val="21"/>
                <w:lang w:val="en-US" w:eastAsia="zh-CN"/>
              </w:rPr>
            </w:pPr>
            <w:r>
              <w:rPr>
                <w:rFonts w:hint="eastAsia" w:eastAsia="仿宋"/>
                <w:color w:val="000000"/>
                <w:kern w:val="0"/>
                <w:szCs w:val="21"/>
                <w:lang w:val="en-US" w:eastAsia="zh-CN"/>
              </w:rPr>
              <w:t>9.4 盾构法隧道施工</w:t>
            </w:r>
          </w:p>
        </w:tc>
        <w:tc>
          <w:tcPr>
            <w:tcW w:w="766" w:type="pct"/>
            <w:vMerge w:val="continue"/>
            <w:tcBorders>
              <w:left w:val="single" w:color="auto" w:sz="4" w:space="0"/>
              <w:right w:val="single" w:color="auto" w:sz="4" w:space="0"/>
            </w:tcBorders>
            <w:noWrap w:val="0"/>
            <w:vAlign w:val="center"/>
          </w:tcPr>
          <w:p>
            <w:pPr>
              <w:widowControl/>
              <w:jc w:val="center"/>
              <w:rPr>
                <w:rFonts w:eastAsia="仿宋"/>
                <w:color w:val="000000"/>
                <w:kern w:val="0"/>
                <w:szCs w:val="21"/>
              </w:rPr>
            </w:pPr>
          </w:p>
        </w:tc>
        <w:tc>
          <w:tcPr>
            <w:tcW w:w="1245" w:type="pct"/>
            <w:vMerge w:val="continue"/>
            <w:tcBorders>
              <w:left w:val="single" w:color="auto" w:sz="4" w:space="0"/>
              <w:right w:val="single" w:color="auto" w:sz="4" w:space="0"/>
            </w:tcBorders>
            <w:noWrap w:val="0"/>
            <w:vAlign w:val="center"/>
          </w:tcPr>
          <w:p>
            <w:pPr>
              <w:widowControl/>
              <w:jc w:val="center"/>
              <w:rPr>
                <w:rFonts w:hint="eastAsia" w:eastAsia="仿宋"/>
                <w:color w:val="000000"/>
                <w:kern w:val="0"/>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 w:hRule="atLeast"/>
          <w:jc w:val="center"/>
        </w:trPr>
        <w:tc>
          <w:tcPr>
            <w:tcW w:w="1183" w:type="pct"/>
            <w:vMerge w:val="restart"/>
            <w:tcBorders>
              <w:left w:val="single" w:color="auto" w:sz="4" w:space="0"/>
              <w:right w:val="single" w:color="auto" w:sz="4" w:space="0"/>
            </w:tcBorders>
            <w:noWrap w:val="0"/>
            <w:vAlign w:val="center"/>
          </w:tcPr>
          <w:p>
            <w:pPr>
              <w:widowControl/>
              <w:rPr>
                <w:rFonts w:hint="default" w:eastAsia="仿宋"/>
                <w:color w:val="000000"/>
                <w:kern w:val="0"/>
                <w:szCs w:val="21"/>
                <w:lang w:val="en-US" w:eastAsia="zh-CN"/>
              </w:rPr>
            </w:pPr>
            <w:r>
              <w:rPr>
                <w:rFonts w:hint="eastAsia" w:eastAsia="仿宋"/>
                <w:color w:val="000000"/>
                <w:kern w:val="0"/>
                <w:szCs w:val="21"/>
                <w:lang w:val="en-US" w:eastAsia="zh-CN"/>
              </w:rPr>
              <w:t>10 系统集成与安全</w:t>
            </w:r>
          </w:p>
        </w:tc>
        <w:tc>
          <w:tcPr>
            <w:tcW w:w="1805" w:type="pct"/>
            <w:tcBorders>
              <w:top w:val="single" w:color="auto" w:sz="4" w:space="0"/>
              <w:left w:val="single" w:color="auto" w:sz="4" w:space="0"/>
              <w:bottom w:val="single" w:color="auto" w:sz="4" w:space="0"/>
              <w:right w:val="single" w:color="auto" w:sz="4" w:space="0"/>
            </w:tcBorders>
            <w:noWrap w:val="0"/>
            <w:vAlign w:val="center"/>
          </w:tcPr>
          <w:p>
            <w:pPr>
              <w:widowControl/>
              <w:rPr>
                <w:rFonts w:hint="default" w:eastAsia="仿宋"/>
                <w:color w:val="000000"/>
                <w:kern w:val="0"/>
                <w:szCs w:val="21"/>
                <w:lang w:val="en-US" w:eastAsia="zh-CN"/>
              </w:rPr>
            </w:pPr>
            <w:r>
              <w:rPr>
                <w:rFonts w:hint="eastAsia" w:eastAsia="仿宋"/>
                <w:color w:val="000000"/>
                <w:kern w:val="0"/>
                <w:szCs w:val="21"/>
                <w:lang w:val="en-US" w:eastAsia="zh-CN"/>
              </w:rPr>
              <w:t>10.1 一般规定</w:t>
            </w:r>
          </w:p>
        </w:tc>
        <w:tc>
          <w:tcPr>
            <w:tcW w:w="766" w:type="pct"/>
            <w:vMerge w:val="restart"/>
            <w:tcBorders>
              <w:left w:val="single" w:color="auto" w:sz="4" w:space="0"/>
              <w:right w:val="single" w:color="auto" w:sz="4" w:space="0"/>
            </w:tcBorders>
            <w:noWrap w:val="0"/>
            <w:vAlign w:val="center"/>
          </w:tcPr>
          <w:p>
            <w:pPr>
              <w:widowControl/>
              <w:jc w:val="center"/>
              <w:rPr>
                <w:rFonts w:hint="default" w:eastAsia="仿宋"/>
                <w:color w:val="000000"/>
                <w:kern w:val="0"/>
                <w:szCs w:val="21"/>
                <w:lang w:val="en-US" w:eastAsia="zh-CN"/>
              </w:rPr>
            </w:pPr>
            <w:r>
              <w:rPr>
                <w:rFonts w:hint="eastAsia" w:eastAsia="仿宋"/>
                <w:color w:val="000000"/>
                <w:kern w:val="0"/>
                <w:szCs w:val="21"/>
                <w:lang w:val="en-US" w:eastAsia="zh-CN"/>
              </w:rPr>
              <w:t>唐建亚</w:t>
            </w:r>
          </w:p>
        </w:tc>
        <w:tc>
          <w:tcPr>
            <w:tcW w:w="1245" w:type="pct"/>
            <w:vMerge w:val="restart"/>
            <w:tcBorders>
              <w:left w:val="single" w:color="auto" w:sz="4" w:space="0"/>
              <w:right w:val="single" w:color="auto" w:sz="4" w:space="0"/>
            </w:tcBorders>
            <w:noWrap w:val="0"/>
            <w:vAlign w:val="center"/>
          </w:tcPr>
          <w:p>
            <w:pPr>
              <w:widowControl/>
              <w:jc w:val="center"/>
              <w:rPr>
                <w:rFonts w:hint="eastAsia" w:eastAsia="仿宋"/>
                <w:color w:val="000000"/>
                <w:kern w:val="0"/>
                <w:szCs w:val="21"/>
                <w:lang w:val="en-US" w:eastAsia="zh-CN"/>
              </w:rPr>
            </w:pPr>
            <w:r>
              <w:rPr>
                <w:rFonts w:hint="eastAsia" w:eastAsia="仿宋"/>
                <w:color w:val="000000"/>
                <w:kern w:val="0"/>
                <w:szCs w:val="21"/>
                <w:lang w:val="en-US" w:eastAsia="zh-CN"/>
              </w:rPr>
              <w:t>顾春旺</w:t>
            </w:r>
          </w:p>
          <w:p>
            <w:pPr>
              <w:widowControl/>
              <w:jc w:val="center"/>
              <w:rPr>
                <w:rFonts w:hint="default" w:eastAsia="仿宋"/>
                <w:color w:val="000000"/>
                <w:kern w:val="0"/>
                <w:szCs w:val="21"/>
                <w:lang w:val="en-US" w:eastAsia="zh-CN"/>
              </w:rPr>
            </w:pPr>
            <w:r>
              <w:rPr>
                <w:rFonts w:hint="eastAsia" w:eastAsia="仿宋"/>
                <w:color w:val="000000"/>
                <w:kern w:val="0"/>
                <w:szCs w:val="21"/>
                <w:lang w:val="en-US" w:eastAsia="zh-CN"/>
              </w:rPr>
              <w:t>徐 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 w:hRule="atLeast"/>
          <w:jc w:val="center"/>
        </w:trPr>
        <w:tc>
          <w:tcPr>
            <w:tcW w:w="1183" w:type="pct"/>
            <w:vMerge w:val="continue"/>
            <w:tcBorders>
              <w:left w:val="single" w:color="auto" w:sz="4" w:space="0"/>
              <w:right w:val="single" w:color="auto" w:sz="4" w:space="0"/>
            </w:tcBorders>
            <w:noWrap w:val="0"/>
            <w:vAlign w:val="center"/>
          </w:tcPr>
          <w:p>
            <w:pPr>
              <w:widowControl/>
              <w:rPr>
                <w:rFonts w:eastAsia="仿宋"/>
                <w:color w:val="000000"/>
                <w:kern w:val="0"/>
                <w:szCs w:val="21"/>
              </w:rPr>
            </w:pPr>
          </w:p>
        </w:tc>
        <w:tc>
          <w:tcPr>
            <w:tcW w:w="1805" w:type="pct"/>
            <w:tcBorders>
              <w:top w:val="single" w:color="auto" w:sz="4" w:space="0"/>
              <w:left w:val="single" w:color="auto" w:sz="4" w:space="0"/>
              <w:bottom w:val="single" w:color="auto" w:sz="4" w:space="0"/>
              <w:right w:val="single" w:color="auto" w:sz="4" w:space="0"/>
            </w:tcBorders>
            <w:noWrap w:val="0"/>
            <w:vAlign w:val="center"/>
          </w:tcPr>
          <w:p>
            <w:pPr>
              <w:widowControl/>
              <w:rPr>
                <w:rFonts w:hint="default" w:eastAsia="仿宋"/>
                <w:color w:val="000000"/>
                <w:kern w:val="0"/>
                <w:szCs w:val="21"/>
                <w:lang w:val="en-US" w:eastAsia="zh-CN"/>
              </w:rPr>
            </w:pPr>
            <w:r>
              <w:rPr>
                <w:rFonts w:hint="eastAsia" w:eastAsia="仿宋"/>
                <w:color w:val="000000"/>
                <w:kern w:val="0"/>
                <w:szCs w:val="21"/>
                <w:lang w:val="en-US" w:eastAsia="zh-CN"/>
              </w:rPr>
              <w:t>10.2 系统集成</w:t>
            </w:r>
          </w:p>
        </w:tc>
        <w:tc>
          <w:tcPr>
            <w:tcW w:w="766" w:type="pct"/>
            <w:vMerge w:val="continue"/>
            <w:tcBorders>
              <w:left w:val="single" w:color="auto" w:sz="4" w:space="0"/>
              <w:right w:val="single" w:color="auto" w:sz="4" w:space="0"/>
            </w:tcBorders>
            <w:noWrap w:val="0"/>
            <w:vAlign w:val="center"/>
          </w:tcPr>
          <w:p>
            <w:pPr>
              <w:widowControl/>
              <w:rPr>
                <w:rFonts w:eastAsia="仿宋"/>
                <w:color w:val="000000"/>
                <w:kern w:val="0"/>
                <w:szCs w:val="21"/>
              </w:rPr>
            </w:pPr>
          </w:p>
        </w:tc>
        <w:tc>
          <w:tcPr>
            <w:tcW w:w="1245" w:type="pct"/>
            <w:vMerge w:val="continue"/>
            <w:tcBorders>
              <w:left w:val="single" w:color="auto" w:sz="4" w:space="0"/>
              <w:right w:val="single" w:color="auto" w:sz="4" w:space="0"/>
            </w:tcBorders>
            <w:noWrap w:val="0"/>
            <w:vAlign w:val="top"/>
          </w:tcPr>
          <w:p>
            <w:pPr>
              <w:widowControl/>
              <w:rPr>
                <w:rFonts w:eastAsia="仿宋"/>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 w:hRule="atLeast"/>
          <w:jc w:val="center"/>
        </w:trPr>
        <w:tc>
          <w:tcPr>
            <w:tcW w:w="1183" w:type="pct"/>
            <w:vMerge w:val="continue"/>
            <w:tcBorders>
              <w:left w:val="single" w:color="auto" w:sz="4" w:space="0"/>
              <w:right w:val="single" w:color="auto" w:sz="4" w:space="0"/>
            </w:tcBorders>
            <w:noWrap w:val="0"/>
            <w:vAlign w:val="center"/>
          </w:tcPr>
          <w:p>
            <w:pPr>
              <w:widowControl/>
              <w:rPr>
                <w:rFonts w:eastAsia="仿宋"/>
                <w:color w:val="000000"/>
                <w:kern w:val="0"/>
                <w:szCs w:val="21"/>
              </w:rPr>
            </w:pPr>
          </w:p>
        </w:tc>
        <w:tc>
          <w:tcPr>
            <w:tcW w:w="1805" w:type="pct"/>
            <w:tcBorders>
              <w:top w:val="single" w:color="auto" w:sz="4" w:space="0"/>
              <w:left w:val="single" w:color="auto" w:sz="4" w:space="0"/>
              <w:bottom w:val="single" w:color="auto" w:sz="4" w:space="0"/>
              <w:right w:val="single" w:color="auto" w:sz="4" w:space="0"/>
            </w:tcBorders>
            <w:noWrap w:val="0"/>
            <w:vAlign w:val="center"/>
          </w:tcPr>
          <w:p>
            <w:pPr>
              <w:widowControl/>
              <w:rPr>
                <w:rFonts w:hint="default" w:eastAsia="仿宋"/>
                <w:color w:val="000000"/>
                <w:kern w:val="0"/>
                <w:szCs w:val="21"/>
                <w:lang w:val="en-US" w:eastAsia="zh-CN"/>
              </w:rPr>
            </w:pPr>
            <w:r>
              <w:rPr>
                <w:rFonts w:hint="eastAsia" w:eastAsia="仿宋"/>
                <w:color w:val="000000"/>
                <w:kern w:val="0"/>
                <w:szCs w:val="21"/>
                <w:lang w:val="en-US" w:eastAsia="zh-CN"/>
              </w:rPr>
              <w:t>10.3 系统安全</w:t>
            </w:r>
          </w:p>
        </w:tc>
        <w:tc>
          <w:tcPr>
            <w:tcW w:w="766" w:type="pct"/>
            <w:vMerge w:val="continue"/>
            <w:tcBorders>
              <w:left w:val="single" w:color="auto" w:sz="4" w:space="0"/>
              <w:right w:val="single" w:color="auto" w:sz="4" w:space="0"/>
            </w:tcBorders>
            <w:noWrap w:val="0"/>
            <w:vAlign w:val="center"/>
          </w:tcPr>
          <w:p>
            <w:pPr>
              <w:widowControl/>
              <w:rPr>
                <w:rFonts w:eastAsia="仿宋"/>
                <w:color w:val="000000"/>
                <w:kern w:val="0"/>
                <w:szCs w:val="21"/>
              </w:rPr>
            </w:pPr>
          </w:p>
        </w:tc>
        <w:tc>
          <w:tcPr>
            <w:tcW w:w="1245" w:type="pct"/>
            <w:vMerge w:val="continue"/>
            <w:tcBorders>
              <w:left w:val="single" w:color="auto" w:sz="4" w:space="0"/>
              <w:right w:val="single" w:color="auto" w:sz="4" w:space="0"/>
            </w:tcBorders>
            <w:noWrap w:val="0"/>
            <w:vAlign w:val="top"/>
          </w:tcPr>
          <w:p>
            <w:pPr>
              <w:widowControl/>
              <w:rPr>
                <w:rFonts w:eastAsia="仿宋"/>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jc w:val="center"/>
        </w:trPr>
        <w:tc>
          <w:tcPr>
            <w:tcW w:w="1183" w:type="pct"/>
            <w:vMerge w:val="restart"/>
            <w:tcBorders>
              <w:left w:val="single" w:color="auto" w:sz="4" w:space="0"/>
              <w:right w:val="single" w:color="auto" w:sz="4" w:space="0"/>
            </w:tcBorders>
            <w:noWrap w:val="0"/>
            <w:vAlign w:val="center"/>
          </w:tcPr>
          <w:p>
            <w:pPr>
              <w:widowControl/>
              <w:rPr>
                <w:rFonts w:hint="default" w:eastAsia="仿宋"/>
                <w:color w:val="000000"/>
                <w:kern w:val="0"/>
                <w:szCs w:val="21"/>
                <w:lang w:val="en-US" w:eastAsia="zh-CN"/>
              </w:rPr>
            </w:pPr>
            <w:r>
              <w:rPr>
                <w:rFonts w:hint="eastAsia" w:eastAsia="仿宋"/>
                <w:color w:val="000000"/>
                <w:kern w:val="0"/>
                <w:szCs w:val="21"/>
                <w:lang w:val="en-US" w:eastAsia="zh-CN"/>
              </w:rPr>
              <w:t>11 平台运行维护</w:t>
            </w:r>
          </w:p>
        </w:tc>
        <w:tc>
          <w:tcPr>
            <w:tcW w:w="1805" w:type="pct"/>
            <w:tcBorders>
              <w:top w:val="single" w:color="auto" w:sz="4" w:space="0"/>
              <w:left w:val="single" w:color="auto" w:sz="4" w:space="0"/>
              <w:bottom w:val="single" w:color="auto" w:sz="4" w:space="0"/>
              <w:right w:val="single" w:color="auto" w:sz="4" w:space="0"/>
            </w:tcBorders>
            <w:noWrap w:val="0"/>
            <w:vAlign w:val="center"/>
          </w:tcPr>
          <w:p>
            <w:pPr>
              <w:widowControl/>
              <w:rPr>
                <w:rFonts w:hint="default" w:eastAsia="仿宋"/>
                <w:color w:val="000000"/>
                <w:kern w:val="0"/>
                <w:szCs w:val="21"/>
                <w:lang w:val="en-US" w:eastAsia="zh-CN"/>
              </w:rPr>
            </w:pPr>
            <w:r>
              <w:rPr>
                <w:rFonts w:hint="eastAsia" w:eastAsia="仿宋"/>
                <w:color w:val="000000"/>
                <w:kern w:val="0"/>
                <w:szCs w:val="21"/>
                <w:lang w:val="en-US" w:eastAsia="zh-CN"/>
              </w:rPr>
              <w:t>11.1 一般规定</w:t>
            </w:r>
          </w:p>
        </w:tc>
        <w:tc>
          <w:tcPr>
            <w:tcW w:w="766" w:type="pct"/>
            <w:vMerge w:val="continue"/>
            <w:tcBorders>
              <w:left w:val="single" w:color="auto" w:sz="4" w:space="0"/>
              <w:right w:val="single" w:color="auto" w:sz="4" w:space="0"/>
            </w:tcBorders>
            <w:noWrap w:val="0"/>
            <w:vAlign w:val="center"/>
          </w:tcPr>
          <w:p>
            <w:pPr>
              <w:widowControl/>
              <w:rPr>
                <w:rFonts w:eastAsia="仿宋"/>
                <w:color w:val="000000"/>
                <w:kern w:val="0"/>
                <w:szCs w:val="21"/>
              </w:rPr>
            </w:pPr>
          </w:p>
        </w:tc>
        <w:tc>
          <w:tcPr>
            <w:tcW w:w="1245" w:type="pct"/>
            <w:vMerge w:val="continue"/>
            <w:tcBorders>
              <w:left w:val="single" w:color="auto" w:sz="4" w:space="0"/>
              <w:right w:val="single" w:color="auto" w:sz="4" w:space="0"/>
            </w:tcBorders>
            <w:noWrap w:val="0"/>
            <w:vAlign w:val="top"/>
          </w:tcPr>
          <w:p>
            <w:pPr>
              <w:widowControl/>
              <w:rPr>
                <w:rFonts w:eastAsia="仿宋"/>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jc w:val="center"/>
        </w:trPr>
        <w:tc>
          <w:tcPr>
            <w:tcW w:w="1183" w:type="pct"/>
            <w:vMerge w:val="continue"/>
            <w:tcBorders>
              <w:left w:val="single" w:color="auto" w:sz="4" w:space="0"/>
              <w:right w:val="single" w:color="auto" w:sz="4" w:space="0"/>
            </w:tcBorders>
            <w:noWrap w:val="0"/>
            <w:vAlign w:val="center"/>
          </w:tcPr>
          <w:p>
            <w:pPr>
              <w:widowControl/>
            </w:pPr>
          </w:p>
        </w:tc>
        <w:tc>
          <w:tcPr>
            <w:tcW w:w="1805" w:type="pct"/>
            <w:tcBorders>
              <w:top w:val="single" w:color="auto" w:sz="4" w:space="0"/>
              <w:left w:val="single" w:color="auto" w:sz="4" w:space="0"/>
              <w:bottom w:val="single" w:color="auto" w:sz="4" w:space="0"/>
              <w:right w:val="single" w:color="auto" w:sz="4" w:space="0"/>
            </w:tcBorders>
            <w:noWrap w:val="0"/>
            <w:vAlign w:val="center"/>
          </w:tcPr>
          <w:p>
            <w:pPr>
              <w:widowControl/>
              <w:rPr>
                <w:rFonts w:hint="default" w:eastAsia="仿宋"/>
                <w:color w:val="000000"/>
                <w:kern w:val="0"/>
                <w:szCs w:val="21"/>
                <w:lang w:val="en-US" w:eastAsia="zh-CN"/>
              </w:rPr>
            </w:pPr>
            <w:r>
              <w:rPr>
                <w:rFonts w:hint="eastAsia" w:eastAsia="仿宋"/>
                <w:color w:val="000000"/>
                <w:kern w:val="0"/>
                <w:szCs w:val="21"/>
                <w:lang w:val="en-US" w:eastAsia="zh-CN"/>
              </w:rPr>
              <w:t>11.2 系统维护要求</w:t>
            </w:r>
          </w:p>
        </w:tc>
        <w:tc>
          <w:tcPr>
            <w:tcW w:w="766" w:type="pct"/>
            <w:vMerge w:val="continue"/>
            <w:tcBorders>
              <w:left w:val="single" w:color="auto" w:sz="4" w:space="0"/>
              <w:right w:val="single" w:color="auto" w:sz="4" w:space="0"/>
            </w:tcBorders>
            <w:noWrap w:val="0"/>
            <w:vAlign w:val="center"/>
          </w:tcPr>
          <w:p>
            <w:pPr>
              <w:widowControl/>
              <w:rPr>
                <w:rFonts w:eastAsia="仿宋"/>
                <w:color w:val="000000"/>
                <w:kern w:val="0"/>
                <w:szCs w:val="21"/>
              </w:rPr>
            </w:pPr>
          </w:p>
        </w:tc>
        <w:tc>
          <w:tcPr>
            <w:tcW w:w="1245" w:type="pct"/>
            <w:vMerge w:val="continue"/>
            <w:tcBorders>
              <w:left w:val="single" w:color="auto" w:sz="4" w:space="0"/>
              <w:right w:val="single" w:color="auto" w:sz="4" w:space="0"/>
            </w:tcBorders>
            <w:noWrap w:val="0"/>
            <w:vAlign w:val="top"/>
          </w:tcPr>
          <w:p>
            <w:pPr>
              <w:widowControl/>
              <w:rPr>
                <w:rFonts w:eastAsia="仿宋"/>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jc w:val="center"/>
        </w:trPr>
        <w:tc>
          <w:tcPr>
            <w:tcW w:w="1183" w:type="pct"/>
            <w:vMerge w:val="continue"/>
            <w:tcBorders>
              <w:left w:val="single" w:color="auto" w:sz="4" w:space="0"/>
              <w:right w:val="single" w:color="auto" w:sz="4" w:space="0"/>
            </w:tcBorders>
            <w:noWrap w:val="0"/>
            <w:vAlign w:val="center"/>
          </w:tcPr>
          <w:p>
            <w:pPr>
              <w:widowControl/>
              <w:rPr>
                <w:rFonts w:eastAsia="仿宋"/>
                <w:color w:val="000000"/>
                <w:kern w:val="0"/>
                <w:szCs w:val="21"/>
              </w:rPr>
            </w:pPr>
          </w:p>
        </w:tc>
        <w:tc>
          <w:tcPr>
            <w:tcW w:w="1805" w:type="pct"/>
            <w:tcBorders>
              <w:top w:val="single" w:color="auto" w:sz="4" w:space="0"/>
              <w:left w:val="single" w:color="auto" w:sz="4" w:space="0"/>
              <w:bottom w:val="single" w:color="auto" w:sz="4" w:space="0"/>
              <w:right w:val="single" w:color="auto" w:sz="4" w:space="0"/>
            </w:tcBorders>
            <w:noWrap w:val="0"/>
            <w:vAlign w:val="center"/>
          </w:tcPr>
          <w:p>
            <w:pPr>
              <w:widowControl/>
              <w:rPr>
                <w:rFonts w:hint="default" w:eastAsia="仿宋"/>
                <w:color w:val="000000"/>
                <w:kern w:val="0"/>
                <w:szCs w:val="21"/>
                <w:lang w:val="en-US" w:eastAsia="zh-CN"/>
              </w:rPr>
            </w:pPr>
            <w:r>
              <w:rPr>
                <w:rFonts w:hint="eastAsia" w:eastAsia="仿宋"/>
                <w:color w:val="000000"/>
                <w:kern w:val="0"/>
                <w:szCs w:val="21"/>
                <w:lang w:val="en-US" w:eastAsia="zh-CN"/>
              </w:rPr>
              <w:t>11.3 系统升级要求</w:t>
            </w:r>
          </w:p>
        </w:tc>
        <w:tc>
          <w:tcPr>
            <w:tcW w:w="766" w:type="pct"/>
            <w:vMerge w:val="continue"/>
            <w:tcBorders>
              <w:left w:val="single" w:color="auto" w:sz="4" w:space="0"/>
              <w:right w:val="single" w:color="auto" w:sz="4" w:space="0"/>
            </w:tcBorders>
            <w:noWrap w:val="0"/>
            <w:vAlign w:val="center"/>
          </w:tcPr>
          <w:p>
            <w:pPr>
              <w:widowControl/>
              <w:rPr>
                <w:rFonts w:eastAsia="仿宋"/>
                <w:color w:val="000000"/>
                <w:kern w:val="0"/>
                <w:szCs w:val="21"/>
              </w:rPr>
            </w:pPr>
          </w:p>
        </w:tc>
        <w:tc>
          <w:tcPr>
            <w:tcW w:w="1245" w:type="pct"/>
            <w:vMerge w:val="continue"/>
            <w:tcBorders>
              <w:left w:val="single" w:color="auto" w:sz="4" w:space="0"/>
              <w:right w:val="single" w:color="auto" w:sz="4" w:space="0"/>
            </w:tcBorders>
            <w:noWrap w:val="0"/>
            <w:vAlign w:val="top"/>
          </w:tcPr>
          <w:p>
            <w:pPr>
              <w:widowControl/>
              <w:rPr>
                <w:rFonts w:eastAsia="仿宋"/>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jc w:val="center"/>
        </w:trPr>
        <w:tc>
          <w:tcPr>
            <w:tcW w:w="2988" w:type="pct"/>
            <w:gridSpan w:val="2"/>
            <w:tcBorders>
              <w:left w:val="single" w:color="auto" w:sz="4" w:space="0"/>
              <w:bottom w:val="single" w:color="auto" w:sz="4" w:space="0"/>
              <w:right w:val="single" w:color="auto" w:sz="4" w:space="0"/>
            </w:tcBorders>
            <w:noWrap w:val="0"/>
            <w:vAlign w:val="center"/>
          </w:tcPr>
          <w:p>
            <w:pPr>
              <w:widowControl/>
              <w:rPr>
                <w:rFonts w:hint="default" w:eastAsia="仿宋"/>
                <w:color w:val="000000"/>
                <w:kern w:val="0"/>
                <w:szCs w:val="21"/>
                <w:lang w:val="en-US" w:eastAsia="zh-CN"/>
              </w:rPr>
            </w:pPr>
            <w:r>
              <w:rPr>
                <w:rFonts w:eastAsia="仿宋"/>
                <w:color w:val="000000"/>
                <w:kern w:val="0"/>
                <w:szCs w:val="21"/>
              </w:rPr>
              <w:t>附录</w:t>
            </w:r>
            <w:r>
              <w:rPr>
                <w:rFonts w:hint="eastAsia" w:eastAsia="仿宋"/>
                <w:color w:val="000000"/>
                <w:kern w:val="0"/>
                <w:szCs w:val="21"/>
                <w:lang w:val="en-US" w:eastAsia="zh-CN"/>
              </w:rPr>
              <w:t xml:space="preserve"> 智慧工地应用场景及建设需求表</w:t>
            </w:r>
          </w:p>
        </w:tc>
        <w:tc>
          <w:tcPr>
            <w:tcW w:w="766" w:type="pct"/>
            <w:vMerge w:val="continue"/>
            <w:tcBorders>
              <w:left w:val="single" w:color="auto" w:sz="4" w:space="0"/>
              <w:right w:val="single" w:color="auto" w:sz="4" w:space="0"/>
            </w:tcBorders>
            <w:noWrap w:val="0"/>
            <w:vAlign w:val="center"/>
          </w:tcPr>
          <w:p>
            <w:pPr>
              <w:widowControl/>
              <w:rPr>
                <w:rFonts w:hint="default" w:eastAsia="仿宋"/>
                <w:color w:val="000000"/>
                <w:kern w:val="0"/>
                <w:szCs w:val="21"/>
                <w:lang w:val="en-US" w:eastAsia="zh-CN"/>
              </w:rPr>
            </w:pPr>
          </w:p>
        </w:tc>
        <w:tc>
          <w:tcPr>
            <w:tcW w:w="1245" w:type="pct"/>
            <w:vMerge w:val="continue"/>
            <w:tcBorders>
              <w:left w:val="single" w:color="auto" w:sz="4" w:space="0"/>
              <w:right w:val="single" w:color="auto" w:sz="4" w:space="0"/>
            </w:tcBorders>
            <w:noWrap w:val="0"/>
            <w:vAlign w:val="top"/>
          </w:tcPr>
          <w:p>
            <w:pPr>
              <w:widowControl/>
              <w:rPr>
                <w:rFonts w:eastAsia="仿宋"/>
                <w:color w:val="000000"/>
                <w:kern w:val="0"/>
                <w:szCs w:val="21"/>
              </w:rPr>
            </w:pPr>
          </w:p>
        </w:tc>
      </w:tr>
    </w:tbl>
    <w:p>
      <w:pPr>
        <w:adjustRightInd w:val="0"/>
        <w:snapToGrid w:val="0"/>
        <w:spacing w:line="360" w:lineRule="auto"/>
        <w:ind w:firstLine="560" w:firstLineChars="200"/>
        <w:rPr>
          <w:rFonts w:hint="eastAsia" w:ascii="仿宋" w:hAnsi="仿宋" w:eastAsia="仿宋" w:cs="仿宋"/>
          <w:sz w:val="28"/>
          <w:szCs w:val="28"/>
        </w:rPr>
      </w:pPr>
      <w:bookmarkStart w:id="12" w:name="_GoBack"/>
      <w:bookmarkEnd w:id="12"/>
    </w:p>
    <w:sectPr>
      <w:footerReference r:id="rId3"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pPr>
                          <w:r>
                            <w:rPr>
                              <w:rFonts w:hint="eastAsia"/>
                            </w:rPr>
                            <w:fldChar w:fldCharType="begin"/>
                          </w:r>
                          <w:r>
                            <w:rPr>
                              <w:rFonts w:hint="eastAsia"/>
                            </w:rPr>
                            <w:instrText xml:space="preserve"> PAGE  \* MERGEFORMAT </w:instrText>
                          </w:r>
                          <w:r>
                            <w:rPr>
                              <w:rFonts w:hint="eastAsia"/>
                            </w:rPr>
                            <w:fldChar w:fldCharType="separate"/>
                          </w:r>
                          <w:r>
                            <w:rPr>
                              <w:rFonts w:hint="eastAsia"/>
                            </w:rPr>
                            <w:t>3</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pPr>
                      <w:pStyle w:val="7"/>
                    </w:pPr>
                    <w:r>
                      <w:rPr>
                        <w:rFonts w:hint="eastAsia"/>
                      </w:rPr>
                      <w:fldChar w:fldCharType="begin"/>
                    </w:r>
                    <w:r>
                      <w:rPr>
                        <w:rFonts w:hint="eastAsia"/>
                      </w:rPr>
                      <w:instrText xml:space="preserve"> PAGE  \* MERGEFORMAT </w:instrText>
                    </w:r>
                    <w:r>
                      <w:rPr>
                        <w:rFonts w:hint="eastAsia"/>
                      </w:rPr>
                      <w:fldChar w:fldCharType="separate"/>
                    </w:r>
                    <w:r>
                      <w:rPr>
                        <w:rFonts w:hint="eastAsia"/>
                      </w:rPr>
                      <w:t>3</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D246CCE"/>
    <w:multiLevelType w:val="singleLevel"/>
    <w:tmpl w:val="2D246CCE"/>
    <w:lvl w:ilvl="0" w:tentative="0">
      <w:start w:val="1"/>
      <w:numFmt w:val="bullet"/>
      <w:lvlText w:val=""/>
      <w:lvlJc w:val="left"/>
      <w:pPr>
        <w:ind w:left="420" w:hanging="42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78D3"/>
    <w:rsid w:val="003378D3"/>
    <w:rsid w:val="00606459"/>
    <w:rsid w:val="00B62A86"/>
    <w:rsid w:val="00C91E1D"/>
    <w:rsid w:val="09914B2D"/>
    <w:rsid w:val="1F7826BC"/>
    <w:rsid w:val="24354007"/>
    <w:rsid w:val="253B06C3"/>
    <w:rsid w:val="26577FF7"/>
    <w:rsid w:val="3D0C3A68"/>
    <w:rsid w:val="42912967"/>
    <w:rsid w:val="52744E7B"/>
    <w:rsid w:val="56C25457"/>
    <w:rsid w:val="60C642AF"/>
    <w:rsid w:val="6C681D80"/>
    <w:rsid w:val="6DF66B00"/>
    <w:rsid w:val="709F51B4"/>
    <w:rsid w:val="7523271C"/>
    <w:rsid w:val="75D41929"/>
    <w:rsid w:val="772834B4"/>
    <w:rsid w:val="7ECD36D7"/>
    <w:rsid w:val="7F063D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keepNext/>
      <w:keepLines/>
      <w:spacing w:before="340" w:after="330" w:line="576" w:lineRule="auto"/>
      <w:outlineLvl w:val="0"/>
    </w:pPr>
    <w:rPr>
      <w:b/>
      <w:kern w:val="44"/>
      <w:sz w:val="44"/>
    </w:rPr>
  </w:style>
  <w:style w:type="paragraph" w:styleId="4">
    <w:name w:val="heading 2"/>
    <w:basedOn w:val="1"/>
    <w:next w:val="1"/>
    <w:unhideWhenUsed/>
    <w:qFormat/>
    <w:uiPriority w:val="0"/>
    <w:pPr>
      <w:keepNext/>
      <w:keepLines/>
      <w:spacing w:before="260" w:after="260" w:line="413" w:lineRule="auto"/>
      <w:outlineLvl w:val="1"/>
    </w:pPr>
    <w:rPr>
      <w:rFonts w:ascii="Arial" w:hAnsi="Arial" w:eastAsia="黑体"/>
      <w:b/>
      <w:sz w:val="32"/>
    </w:rPr>
  </w:style>
  <w:style w:type="character" w:default="1" w:styleId="14">
    <w:name w:val="Default Paragraph Font"/>
    <w:semiHidden/>
    <w:unhideWhenUsed/>
    <w:uiPriority w:val="1"/>
  </w:style>
  <w:style w:type="table" w:default="1" w:styleId="12">
    <w:name w:val="Normal Table"/>
    <w:semiHidden/>
    <w:unhideWhenUsed/>
    <w:uiPriority w:val="99"/>
    <w:tblPr>
      <w:tblCellMar>
        <w:top w:w="0" w:type="dxa"/>
        <w:left w:w="108" w:type="dxa"/>
        <w:bottom w:w="0" w:type="dxa"/>
        <w:right w:w="108" w:type="dxa"/>
      </w:tblCellMar>
    </w:tblPr>
  </w:style>
  <w:style w:type="paragraph" w:customStyle="1" w:styleId="2">
    <w:name w:val="*正文"/>
    <w:basedOn w:val="1"/>
    <w:qFormat/>
    <w:uiPriority w:val="0"/>
    <w:pPr>
      <w:snapToGrid w:val="0"/>
      <w:jc w:val="left"/>
    </w:pPr>
    <w:rPr>
      <w:rFonts w:ascii="宋体" w:hAnsi="宋体" w:cs="Times New Roman"/>
      <w:color w:val="000000"/>
      <w:szCs w:val="21"/>
      <w:lang w:val="zh-CN"/>
    </w:rPr>
  </w:style>
  <w:style w:type="paragraph" w:styleId="5">
    <w:name w:val="caption"/>
    <w:basedOn w:val="1"/>
    <w:next w:val="1"/>
    <w:unhideWhenUsed/>
    <w:qFormat/>
    <w:uiPriority w:val="35"/>
    <w:rPr>
      <w:rFonts w:eastAsia="黑体" w:asciiTheme="majorHAnsi" w:hAnsiTheme="majorHAnsi" w:cstheme="majorBidi"/>
      <w:sz w:val="20"/>
      <w:szCs w:val="20"/>
    </w:rPr>
  </w:style>
  <w:style w:type="paragraph" w:styleId="6">
    <w:name w:val="annotation text"/>
    <w:basedOn w:val="1"/>
    <w:qFormat/>
    <w:uiPriority w:val="0"/>
    <w:pPr>
      <w:jc w:val="left"/>
    </w:p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9">
    <w:name w:val="toc 1"/>
    <w:basedOn w:val="1"/>
    <w:next w:val="1"/>
    <w:uiPriority w:val="0"/>
  </w:style>
  <w:style w:type="paragraph" w:styleId="10">
    <w:name w:val="toc 2"/>
    <w:basedOn w:val="1"/>
    <w:next w:val="1"/>
    <w:qFormat/>
    <w:uiPriority w:val="0"/>
    <w:pPr>
      <w:ind w:left="420" w:leftChars="200"/>
    </w:pPr>
  </w:style>
  <w:style w:type="paragraph" w:styleId="11">
    <w:name w:val="Normal (Web)"/>
    <w:basedOn w:val="1"/>
    <w:qFormat/>
    <w:uiPriority w:val="0"/>
    <w:pPr>
      <w:spacing w:beforeAutospacing="1" w:afterAutospacing="1"/>
      <w:jc w:val="left"/>
    </w:pPr>
    <w:rPr>
      <w:rFonts w:cs="Times New Roman"/>
      <w:kern w:val="0"/>
      <w:sz w:val="24"/>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Strong"/>
    <w:basedOn w:val="14"/>
    <w:qFormat/>
    <w:uiPriority w:val="0"/>
    <w:rPr>
      <w:b/>
    </w:rPr>
  </w:style>
  <w:style w:type="paragraph" w:customStyle="1" w:styleId="16">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styleId="17">
    <w:name w:val="List Paragraph"/>
    <w:basedOn w:val="1"/>
    <w:qFormat/>
    <w:uiPriority w:val="34"/>
    <w:pPr>
      <w:ind w:firstLine="420" w:firstLineChars="200"/>
    </w:pPr>
  </w:style>
  <w:style w:type="character" w:customStyle="1" w:styleId="18">
    <w:name w:val="font11"/>
    <w:basedOn w:val="14"/>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19</Pages>
  <Words>1675</Words>
  <Characters>9553</Characters>
  <Lines>79</Lines>
  <Paragraphs>22</Paragraphs>
  <TotalTime>27</TotalTime>
  <ScaleCrop>false</ScaleCrop>
  <LinksUpToDate>false</LinksUpToDate>
  <CharactersWithSpaces>11206</CharactersWithSpaces>
  <Application>WPS Office_11.8.6.11546_F1E327BC-269C-435d-A152-05C5408002CA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2024-03-28T05:58:00Z</dcterms:created>
  <dc:creator>86180</dc:creator>
  <cp:lastModifiedBy>唐建亚</cp:lastModifiedBy>
  <dcterms:modified xsi:type="dcterms:W3CDTF">2024-06-24T12:02:05Z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2052-11.8.6.11546</vt:lpwstr>
  </property>
  <property fmtid="{D5CDD505-2E9C-101B-9397-08002B2CF9AE}" pid="3" name="ICV">
    <vt:lpwstr>C2728EDA526249AF9D820A0E5CD875BC</vt:lpwstr>
  </property>
</Properties>
</file>